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50230F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5pt;height:25pt;margin-top:857pt;margin-left:953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ascii="宋体" w:eastAsia="宋体" w:hAnsi="宋体" w:hint="eastAsia"/>
          <w:b/>
          <w:sz w:val="28"/>
          <w:szCs w:val="28"/>
        </w:rPr>
        <w:t>实验中学</w:t>
      </w:r>
      <w:r>
        <w:rPr>
          <w:rFonts w:ascii="宋体" w:eastAsia="宋体" w:hAnsi="宋体" w:hint="eastAsia"/>
          <w:b/>
          <w:sz w:val="28"/>
          <w:szCs w:val="28"/>
        </w:rPr>
        <w:t>高一年级第一学期</w:t>
      </w:r>
      <w:r>
        <w:rPr>
          <w:rFonts w:ascii="宋体" w:eastAsia="宋体" w:hAnsi="宋体"/>
          <w:b/>
          <w:sz w:val="28"/>
          <w:szCs w:val="28"/>
          <w:u w:val="single"/>
        </w:rPr>
        <w:t xml:space="preserve"> </w:t>
      </w:r>
      <w:r>
        <w:rPr>
          <w:rFonts w:ascii="宋体" w:eastAsia="宋体" w:hAnsi="宋体" w:hint="eastAsia"/>
          <w:b/>
          <w:sz w:val="28"/>
          <w:szCs w:val="28"/>
          <w:u w:val="single"/>
        </w:rPr>
        <w:t>语文</w:t>
      </w:r>
      <w:r>
        <w:rPr>
          <w:rFonts w:ascii="宋体" w:eastAsia="宋体" w:hAnsi="宋体"/>
          <w:b/>
          <w:sz w:val="28"/>
          <w:szCs w:val="28"/>
          <w:u w:val="single"/>
        </w:rPr>
        <w:t xml:space="preserve">  </w:t>
      </w:r>
      <w:r>
        <w:rPr>
          <w:rFonts w:ascii="宋体" w:eastAsia="宋体" w:hAnsi="宋体" w:hint="eastAsia"/>
          <w:b/>
          <w:sz w:val="28"/>
          <w:szCs w:val="28"/>
        </w:rPr>
        <w:t>学科教案</w:t>
      </w:r>
      <w:r>
        <w:rPr>
          <w:rFonts w:ascii="宋体" w:eastAsia="宋体" w:hAnsi="宋体"/>
          <w:b/>
          <w:sz w:val="28"/>
          <w:szCs w:val="28"/>
        </w:rPr>
        <w:t xml:space="preserve">     </w:t>
      </w:r>
    </w:p>
    <w:p w:rsidR="0050230F">
      <w:pPr>
        <w:spacing w:line="360" w:lineRule="auto"/>
        <w:jc w:val="center"/>
        <w:rPr>
          <w:rFonts w:ascii="宋体" w:eastAsia="宋体" w:hAnsi="宋体"/>
          <w:b/>
          <w:sz w:val="18"/>
          <w:szCs w:val="18"/>
        </w:rPr>
      </w:pPr>
      <w:r>
        <w:rPr>
          <w:rFonts w:ascii="宋体" w:eastAsia="宋体" w:hAnsi="宋体" w:hint="eastAsia"/>
          <w:b/>
          <w:sz w:val="28"/>
          <w:szCs w:val="28"/>
        </w:rPr>
        <w:t>第七单元</w:t>
      </w:r>
      <w:r>
        <w:rPr>
          <w:rFonts w:ascii="宋体" w:eastAsia="宋体" w:hAnsi="宋体" w:hint="eastAsia"/>
          <w:b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sz w:val="28"/>
          <w:szCs w:val="28"/>
        </w:rPr>
        <w:t>第</w:t>
      </w:r>
      <w:r>
        <w:rPr>
          <w:rFonts w:ascii="宋体" w:eastAsia="宋体" w:hAnsi="宋体"/>
          <w:b/>
          <w:sz w:val="28"/>
          <w:szCs w:val="28"/>
        </w:rPr>
        <w:t>14</w:t>
      </w:r>
      <w:r>
        <w:rPr>
          <w:rFonts w:ascii="宋体" w:eastAsia="宋体" w:hAnsi="宋体" w:hint="eastAsia"/>
          <w:b/>
          <w:sz w:val="28"/>
          <w:szCs w:val="28"/>
        </w:rPr>
        <w:t>课</w:t>
      </w:r>
      <w:r>
        <w:rPr>
          <w:rFonts w:ascii="宋体" w:eastAsia="宋体" w:hAnsi="宋体" w:hint="eastAsia"/>
          <w:b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sz w:val="28"/>
          <w:szCs w:val="28"/>
        </w:rPr>
        <w:t>《故都的</w:t>
      </w:r>
      <w:r>
        <w:rPr>
          <w:rFonts w:ascii="宋体" w:eastAsia="宋体" w:hAnsi="宋体"/>
          <w:b/>
          <w:sz w:val="28"/>
          <w:szCs w:val="28"/>
        </w:rPr>
        <w:t>秋</w:t>
      </w:r>
      <w:r>
        <w:rPr>
          <w:rFonts w:ascii="宋体" w:eastAsia="宋体" w:hAnsi="宋体" w:hint="eastAsia"/>
          <w:b/>
          <w:sz w:val="28"/>
          <w:szCs w:val="28"/>
        </w:rPr>
        <w:t>》</w:t>
      </w:r>
      <w:r>
        <w:rPr>
          <w:rFonts w:ascii="宋体" w:eastAsia="宋体" w:hAnsi="宋体"/>
          <w:b/>
          <w:sz w:val="28"/>
          <w:szCs w:val="28"/>
        </w:rPr>
        <w:t xml:space="preserve">    </w:t>
      </w:r>
      <w:r>
        <w:rPr>
          <w:rFonts w:ascii="宋体" w:eastAsia="宋体" w:hAnsi="宋体"/>
          <w:b/>
          <w:sz w:val="18"/>
          <w:szCs w:val="18"/>
        </w:rPr>
        <w:t xml:space="preserve"> </w:t>
      </w:r>
    </w:p>
    <w:tbl>
      <w:tblPr>
        <w:tblW w:w="9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85"/>
        <w:gridCol w:w="7612"/>
        <w:gridCol w:w="682"/>
      </w:tblGrid>
      <w:tr>
        <w:tblPrEx>
          <w:tblW w:w="95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583"/>
        </w:trPr>
        <w:tc>
          <w:tcPr>
            <w:tcW w:w="1285" w:type="dxa"/>
            <w:vAlign w:val="center"/>
          </w:tcPr>
          <w:p w:rsidR="0050230F">
            <w:pPr>
              <w:widowControl w:val="0"/>
              <w:spacing w:after="0"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教学内容</w:t>
            </w:r>
          </w:p>
        </w:tc>
        <w:tc>
          <w:tcPr>
            <w:tcW w:w="8294" w:type="dxa"/>
            <w:gridSpan w:val="2"/>
            <w:vAlign w:val="center"/>
          </w:tcPr>
          <w:p w:rsidR="0050230F">
            <w:pPr>
              <w:spacing w:line="38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赏析本文秋景，掌握以情驭景，以景显情，情景交融的艺术手法</w:t>
            </w:r>
          </w:p>
        </w:tc>
      </w:tr>
      <w:tr>
        <w:tblPrEx>
          <w:tblW w:w="9579" w:type="dxa"/>
          <w:tblLayout w:type="fixed"/>
          <w:tblLook w:val="04A0"/>
        </w:tblPrEx>
        <w:trPr>
          <w:trHeight w:val="583"/>
        </w:trPr>
        <w:tc>
          <w:tcPr>
            <w:tcW w:w="1285" w:type="dxa"/>
            <w:vAlign w:val="center"/>
          </w:tcPr>
          <w:p w:rsidR="0050230F">
            <w:pPr>
              <w:widowControl w:val="0"/>
              <w:spacing w:after="0"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重点</w:t>
            </w:r>
          </w:p>
        </w:tc>
        <w:tc>
          <w:tcPr>
            <w:tcW w:w="8294" w:type="dxa"/>
            <w:gridSpan w:val="2"/>
            <w:vAlign w:val="center"/>
          </w:tcPr>
          <w:p w:rsidR="0050230F">
            <w:pPr>
              <w:spacing w:line="38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学习鉴赏写景抒情散文的方法</w:t>
            </w:r>
          </w:p>
          <w:p w:rsidR="0050230F">
            <w:pPr>
              <w:spacing w:line="38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体会散文形散神聚的特点以及严谨呼应的结构。</w:t>
            </w:r>
          </w:p>
        </w:tc>
      </w:tr>
      <w:tr>
        <w:tblPrEx>
          <w:tblW w:w="9579" w:type="dxa"/>
          <w:tblLayout w:type="fixed"/>
          <w:tblLook w:val="04A0"/>
        </w:tblPrEx>
        <w:trPr>
          <w:trHeight w:val="583"/>
        </w:trPr>
        <w:tc>
          <w:tcPr>
            <w:tcW w:w="1285" w:type="dxa"/>
            <w:vAlign w:val="center"/>
          </w:tcPr>
          <w:p w:rsidR="0050230F">
            <w:pPr>
              <w:widowControl w:val="0"/>
              <w:spacing w:after="0"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难点</w:t>
            </w:r>
          </w:p>
        </w:tc>
        <w:tc>
          <w:tcPr>
            <w:tcW w:w="8294" w:type="dxa"/>
            <w:gridSpan w:val="2"/>
            <w:vAlign w:val="center"/>
          </w:tcPr>
          <w:p w:rsidR="0050230F">
            <w:pPr>
              <w:spacing w:before="180" w:beforeLines="50" w:line="240" w:lineRule="atLeast"/>
              <w:textAlignment w:val="baseline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体会作者深沉的爱国之情。</w:t>
            </w:r>
          </w:p>
        </w:tc>
      </w:tr>
      <w:tr>
        <w:tblPrEx>
          <w:tblW w:w="9579" w:type="dxa"/>
          <w:tblLayout w:type="fixed"/>
          <w:tblLook w:val="04A0"/>
        </w:tblPrEx>
        <w:trPr>
          <w:trHeight w:val="583"/>
        </w:trPr>
        <w:tc>
          <w:tcPr>
            <w:tcW w:w="9579" w:type="dxa"/>
            <w:gridSpan w:val="3"/>
            <w:vAlign w:val="center"/>
          </w:tcPr>
          <w:p w:rsidR="0050230F">
            <w:pPr>
              <w:widowControl w:val="0"/>
              <w:spacing w:after="0"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教学情境设计</w:t>
            </w:r>
          </w:p>
        </w:tc>
      </w:tr>
      <w:tr>
        <w:tblPrEx>
          <w:tblW w:w="9579" w:type="dxa"/>
          <w:tblLayout w:type="fixed"/>
          <w:tblLook w:val="04A0"/>
        </w:tblPrEx>
        <w:trPr>
          <w:trHeight w:val="583"/>
        </w:trPr>
        <w:tc>
          <w:tcPr>
            <w:tcW w:w="8897" w:type="dxa"/>
            <w:gridSpan w:val="2"/>
            <w:vAlign w:val="center"/>
          </w:tcPr>
          <w:p w:rsidR="0050230F">
            <w:pPr>
              <w:widowControl w:val="0"/>
              <w:spacing w:after="0"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内容</w:t>
            </w:r>
          </w:p>
        </w:tc>
        <w:tc>
          <w:tcPr>
            <w:tcW w:w="682" w:type="dxa"/>
            <w:vAlign w:val="center"/>
          </w:tcPr>
          <w:p w:rsidR="0050230F">
            <w:pPr>
              <w:widowControl w:val="0"/>
              <w:spacing w:after="0"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>
        <w:tblPrEx>
          <w:tblW w:w="9579" w:type="dxa"/>
          <w:tblLayout w:type="fixed"/>
          <w:tblLook w:val="04A0"/>
        </w:tblPrEx>
        <w:trPr>
          <w:trHeight w:val="3874"/>
        </w:trPr>
        <w:tc>
          <w:tcPr>
            <w:tcW w:w="8897" w:type="dxa"/>
            <w:gridSpan w:val="2"/>
            <w:vAlign w:val="center"/>
          </w:tcPr>
          <w:p w:rsidR="0050230F">
            <w:pPr>
              <w:rPr>
                <w:rFonts w:ascii="宋体" w:eastAsia="宋体" w:hAnsi="宋体" w:cs="宋体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21"/>
                <w:szCs w:val="21"/>
              </w:rPr>
              <w:t>教学过程</w:t>
            </w:r>
            <w:r>
              <w:rPr>
                <w:rFonts w:asciiTheme="minorEastAsia" w:eastAsiaTheme="minorEastAsia" w:hAnsiTheme="minorEastAsia" w:cs="宋体"/>
                <w:b/>
                <w:bCs/>
                <w:sz w:val="21"/>
                <w:szCs w:val="21"/>
              </w:rPr>
              <w:t>：</w:t>
            </w:r>
          </w:p>
          <w:p w:rsidR="0050230F">
            <w:pPr>
              <w:pStyle w:val="ListParagraph"/>
              <w:widowControl w:val="0"/>
              <w:numPr>
                <w:ilvl w:val="0"/>
                <w:numId w:val="1"/>
              </w:numPr>
              <w:adjustRightInd/>
              <w:snapToGrid/>
              <w:spacing w:after="0"/>
              <w:ind w:firstLineChars="0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导入</w:t>
            </w:r>
          </w:p>
          <w:p w:rsidR="0050230F">
            <w:pPr>
              <w:pStyle w:val="ListParagraph"/>
              <w:ind w:left="828" w:firstLine="0" w:firstLineChars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秋天在每个人的眼中都有着别样的色彩，让人陶醉。你曾注意过哪些秋天的景色？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可以用自己的话说，也可以引用别人的诗句来说。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我们今天要学习的这篇文章就是对秋景的描写。这就是郁达夫的《故都的秋》</w:t>
            </w:r>
          </w:p>
          <w:p w:rsidR="0050230F">
            <w:pPr>
              <w:pStyle w:val="ListParagraph"/>
              <w:widowControl w:val="0"/>
              <w:numPr>
                <w:ilvl w:val="0"/>
                <w:numId w:val="1"/>
              </w:numPr>
              <w:adjustRightInd/>
              <w:snapToGrid/>
              <w:spacing w:after="0"/>
              <w:ind w:firstLineChars="0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目标展示</w:t>
            </w:r>
          </w:p>
          <w:p w:rsidR="0050230F">
            <w:pPr>
              <w:pStyle w:val="ListParagraph"/>
              <w:ind w:left="828" w:firstLine="0" w:firstLineChars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在本节课中我们主要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要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完成以上任务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PPT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展示学习目标</w:t>
            </w:r>
          </w:p>
          <w:p w:rsidR="0050230F">
            <w:pPr>
              <w:ind w:firstLine="210" w:firstLineChars="1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三、预习检测</w:t>
            </w:r>
          </w:p>
          <w:p w:rsidR="0050230F">
            <w:pPr>
              <w:pStyle w:val="ListParagraph"/>
              <w:ind w:left="828" w:firstLine="0" w:firstLineChars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在学习课文之前检查一下同学们的预习情况。</w:t>
            </w:r>
          </w:p>
          <w:p w:rsidR="001E6BBF" w:rsidP="001E6BB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1、</w:t>
            </w:r>
            <w:r>
              <w:rPr>
                <w:rFonts w:ascii="宋体" w:eastAsia="宋体" w:hAnsi="宋体" w:cs="宋体"/>
                <w:sz w:val="21"/>
                <w:szCs w:val="21"/>
              </w:rPr>
              <w:t>作者：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郁达夫的出生地浙江富阳，有着烟雨江南的温润氤氲。郁达夫幼时丧父，家境艰难，17岁时，他在兄长的资助下到日本留学，一呆就是十年。1933年郁达夫处处碰壁而退出“左联”。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2、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字词检查：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PPT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展示</w:t>
            </w:r>
          </w:p>
          <w:p w:rsidR="001E6BBF" w:rsidRPr="001E6BBF" w:rsidP="001E6BB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 w:rsidRPr="001E6BBF">
              <w:rPr>
                <w:rFonts w:ascii="宋体" w:eastAsia="宋体" w:hAnsi="宋体" w:cs="宋体" w:hint="eastAsia"/>
                <w:bCs/>
                <w:sz w:val="21"/>
                <w:szCs w:val="21"/>
              </w:rPr>
              <w:t>点缀</w:t>
            </w:r>
            <w:r w:rsidRPr="001E6BBF">
              <w:rPr>
                <w:rFonts w:ascii="宋体" w:eastAsia="宋体" w:hAnsi="宋体" w:cs="宋体"/>
                <w:bCs/>
                <w:sz w:val="21"/>
                <w:szCs w:val="21"/>
              </w:rPr>
              <w:t xml:space="preserve"> （       ）   </w:t>
            </w:r>
            <w:r w:rsidRPr="001E6BBF">
              <w:rPr>
                <w:rFonts w:ascii="宋体" w:eastAsia="宋体" w:hAnsi="宋体" w:cs="宋体" w:hint="eastAsia"/>
                <w:bCs/>
                <w:sz w:val="21"/>
                <w:szCs w:val="21"/>
              </w:rPr>
              <w:t>辍学（        ）混沌（        ）   馄饨（        ）</w:t>
            </w:r>
          </w:p>
          <w:p w:rsidR="001E6BBF" w:rsidRPr="001E6BBF" w:rsidP="001E6BB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 w:rsidRPr="001E6BBF">
              <w:rPr>
                <w:rFonts w:ascii="宋体" w:eastAsia="宋体" w:hAnsi="宋体" w:cs="宋体" w:hint="eastAsia"/>
                <w:bCs/>
                <w:sz w:val="21"/>
                <w:szCs w:val="21"/>
              </w:rPr>
              <w:t>萧条（        ）   笙箫（        ）落</w:t>
            </w:r>
            <w:r w:rsidRPr="001E6BBF">
              <w:rPr>
                <w:rFonts w:ascii="宋体" w:eastAsia="宋体" w:hAnsi="宋体" w:cs="宋体" w:hint="eastAsia"/>
                <w:bCs/>
                <w:sz w:val="21"/>
                <w:szCs w:val="21"/>
              </w:rPr>
              <w:t>蕊</w:t>
            </w:r>
            <w:r w:rsidRPr="001E6BBF">
              <w:rPr>
                <w:rFonts w:ascii="宋体" w:eastAsia="宋体" w:hAnsi="宋体" w:cs="宋体" w:hint="eastAsia"/>
                <w:bCs/>
                <w:sz w:val="21"/>
                <w:szCs w:val="21"/>
              </w:rPr>
              <w:t xml:space="preserve">（        ）   </w:t>
            </w:r>
            <w:r w:rsidRPr="001E6BBF">
              <w:rPr>
                <w:rFonts w:ascii="宋体" w:eastAsia="宋体" w:hAnsi="宋体" w:cs="宋体" w:hint="eastAsia"/>
                <w:bCs/>
                <w:sz w:val="21"/>
                <w:szCs w:val="21"/>
              </w:rPr>
              <w:t>一</w:t>
            </w:r>
            <w:r w:rsidRPr="001E6BBF">
              <w:rPr>
                <w:rFonts w:ascii="宋体" w:eastAsia="宋体" w:hAnsi="宋体" w:cs="宋体" w:hint="eastAsia"/>
                <w:bCs/>
                <w:sz w:val="21"/>
                <w:szCs w:val="21"/>
              </w:rPr>
              <w:t>椽（            ）</w:t>
            </w:r>
          </w:p>
          <w:p w:rsidR="001E6BBF" w:rsidRPr="001E6BBF" w:rsidP="001E6BB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 w:rsidRPr="001E6BBF">
              <w:rPr>
                <w:rFonts w:ascii="宋体" w:eastAsia="宋体" w:hAnsi="宋体" w:cs="宋体" w:hint="eastAsia"/>
                <w:bCs/>
                <w:sz w:val="21"/>
                <w:szCs w:val="21"/>
              </w:rPr>
              <w:t xml:space="preserve">槐树（        ）   平仄（      </w:t>
            </w:r>
            <w:r w:rsidRPr="001E6BBF">
              <w:rPr>
                <w:rFonts w:ascii="宋体" w:eastAsia="宋体" w:hAnsi="宋体" w:cs="宋体" w:hint="eastAsia"/>
                <w:sz w:val="21"/>
                <w:szCs w:val="21"/>
              </w:rPr>
              <w:t>）</w:t>
            </w:r>
            <w:r w:rsidRPr="001E6BBF">
              <w:rPr>
                <w:rFonts w:ascii="宋体" w:eastAsia="宋体" w:hAnsi="宋体" w:cs="宋体"/>
                <w:bCs/>
                <w:sz w:val="21"/>
                <w:szCs w:val="21"/>
              </w:rPr>
              <w:t xml:space="preserve"> 着</w:t>
            </w:r>
            <w:r w:rsidRPr="001E6BBF">
              <w:rPr>
                <w:rFonts w:ascii="宋体" w:eastAsia="宋体" w:hAnsi="宋体" w:cs="宋体"/>
                <w:bCs/>
                <w:sz w:val="21"/>
                <w:szCs w:val="21"/>
              </w:rPr>
              <w:t>单衣（        ）</w:t>
            </w:r>
          </w:p>
          <w:p w:rsidR="0050230F">
            <w:pPr>
              <w:pStyle w:val="ListParagraph"/>
              <w:ind w:left="692" w:firstLine="0" w:firstLineChars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四、文本赏析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</w:p>
          <w:p w:rsidR="0050230F">
            <w:pPr>
              <w:pStyle w:val="ListParagraph"/>
              <w:ind w:left="828" w:firstLine="0" w:firstLineChars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叶圣陶先生说：国文本就是读的学科。读准字音，读好语句才能更好的品味文章。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、请同学们自读最后一段，说说你最初的感想。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明确：作者真的爱北国的秋天。怎样爱，爱到愿意用生命去换。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你有没有疑问呢，在你第一次读到这句话时你心中最真实的想法是什么，是怎样的秋天能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让作者连生命都愿舍弃。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我相信一定有同学心里是这样想的，这是个什么人啊，连生命都不要了，要换得北国秋天的景色，换得秋景常驻，如果是你，你愿意么。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、这也足以见得北国的秋景对作者有着多么大的魅力呢？请同学来读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一下第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一段。这北国的秋景有着怎样的特点，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清，静，悲凉。细细品味，这三个字分别给人怎样的感受。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"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清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"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"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静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"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既是对客观景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物特点的描写，是客观色彩，又是作者内心的感受。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"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悲凉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"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更多的传达了作者的主观色彩，感情内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敛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而又伤感。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“文眼”作用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它奠定了文章的感情基调。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、作者以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情驭景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分别写了哪些景物呢，我们先来看第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段，我以第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段为例我们圈点勾画法赏析语句共同分析。先找同学来读一下。其他同学们思考一共写了哪些景，这些景是怎样体现清，静，悲凉的特点的。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秋晨小院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段）：</w:t>
            </w:r>
          </w:p>
          <w:p w:rsidR="0050230F">
            <w:pPr>
              <w:pStyle w:val="ListParagraph"/>
              <w:numPr>
                <w:ilvl w:val="0"/>
                <w:numId w:val="2"/>
              </w:numPr>
              <w:ind w:firstLineChars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生赏析</w:t>
            </w:r>
          </w:p>
          <w:p w:rsidR="0050230F">
            <w:pPr>
              <w:ind w:left="44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高高的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伤感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什么时候会数一丝一丝的阳光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”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，孤独清闲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“看……碧绿的天色”，何等“清”；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“听……驯鸽的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飞声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”，何等“静”；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“数……一丝一丝的阳光”、“静对……牵牛花的蓝朵”，则不但“清”、“静”，而且“悲凉”了。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“听得到青天下驯鸽的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飞声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。”这是境的宁静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“蝉噪林愈静，鸟鸣山更幽”，以动写静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“细数着一丝一丝漏下来的日光”、“静对着像喇叭似的牵牛花”这是心的宁静。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“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一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椽破屋”、“破壁腰”境的悲凉。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两个“破”字会让学生很自然地得出“悲凉”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寂寞、忧郁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的感情基调</w:t>
            </w:r>
            <w:r>
              <w:rPr>
                <w:rFonts w:ascii="宋体" w:eastAsia="宋体" w:hAnsi="宋体" w:cs="宋体" w:hint="eastAsia"/>
                <w:noProof/>
                <w:sz w:val="21"/>
                <w:szCs w:val="21"/>
              </w:rPr>
              <w:drawing>
                <wp:inline distT="0" distB="0" distL="0" distR="0">
                  <wp:extent cx="19050" cy="19050"/>
                  <wp:effectExtent l="0" t="0" r="0" b="0"/>
                  <wp:docPr id="3" name="图片 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4419715" name="图片 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6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作者把牵牛花从好到差排队：蓝、白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--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紫黑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--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粉红；写花底的秋草，用“几根”、“疏疏落落”、“尖细”来修饰，这也显出作者低沉、苦闷的思想感情。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）命图画名：如何我们给这个场景、画面定个名字的话，可以怎么起名。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、下面请同学们自读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4-11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段，圈点勾画法赏析语句，小组讨论，共同分析。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秋槐</w:t>
            </w:r>
            <w:bookmarkStart w:id="0" w:name="_GoBack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落</w:t>
            </w:r>
            <w:bookmarkEnd w:id="0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蕊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段）：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   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清、静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--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“满地”作“铺”的补语，说明落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蕊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之多，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“声音也没有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,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气味也没有”，两个相同的否定句，表明无声无臭，“静”到极点，“清”到极点；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“踏”“柔软”除了体现环境之静，更体现了心境之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"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静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"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扫帚的丝纹用“细腻”、“清闲”来修饰，也显得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 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“清”、“静”。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潜意识下并且还觉得有点儿落寞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”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，则抒发了悲秋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感，紧扣了“悲凉”。</w:t>
            </w:r>
          </w:p>
          <w:p w:rsidR="0050230F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“脚踏上去，声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音也没有，气味也没有，只能感出一点点极微细极柔软的触觉”，这句描写达到出神入化的效果，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这是境的宁静，也是心的宁静。</w:t>
            </w:r>
          </w:p>
          <w:p w:rsidR="0050230F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“扫街的在树影下一阵扫后，灰土上留下来的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一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条条扫帚的丝纹，看起来既觉得细腻，又觉得清闲，潜意识下并且还觉得有点儿落寞。”这里有境的宁静，也有心的悲凉。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秋蝉悲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鸣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段）：</w:t>
            </w:r>
          </w:p>
          <w:p w:rsidR="0050230F">
            <w:pPr>
              <w:spacing w:line="360" w:lineRule="auto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第一句用“衰弱”、“残”来形容蝉声，“无论在什么地方都听得见”说明普遍、多，</w:t>
            </w:r>
          </w:p>
          <w:p w:rsidR="0050230F">
            <w:pPr>
              <w:spacing w:line="360" w:lineRule="auto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第二句说南方城区无秋蝉，形成对比，突出北国之秋的特点。这个特点是什么呢？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--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幽静。</w:t>
            </w:r>
          </w:p>
          <w:p w:rsidR="0050230F">
            <w:pPr>
              <w:spacing w:line="360" w:lineRule="auto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一句“秋蝉的衰弱的蝉声”，以动写静，更增添了北国秋天“清静”的特点。本文为了突出北国秋天的这种特点，往往采用了这种写法，比如前面写“青天下驯鸽的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飞声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”，后面的“息列索落”的雨声和“缓慢悠闲”的人声，都同样给人幽静的感觉。古人有诗云：“蝉噪林愈静，鸟鸣山更幽。”这种写法我们称作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--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“反衬”。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写</w:t>
            </w:r>
            <w:r>
              <w:rPr>
                <w:rFonts w:ascii="宋体" w:eastAsia="宋体" w:hAnsi="宋体" w:cs="宋体" w:hint="eastAsia"/>
                <w:bCs/>
                <w:color w:val="000000"/>
                <w:sz w:val="21"/>
                <w:szCs w:val="21"/>
                <w:shd w:val="clear" w:color="auto" w:fill="FFFFFF"/>
              </w:rPr>
              <w:t>秋蝉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----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“衰弱”、“残声”，这本身就是一种悲凉。</w:t>
            </w:r>
          </w:p>
          <w:p w:rsidR="0050230F">
            <w:pPr>
              <w:spacing w:line="360" w:lineRule="auto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秋雨话凉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6-10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段）：</w:t>
            </w:r>
          </w:p>
          <w:p w:rsidR="0050230F">
            <w:pPr>
              <w:spacing w:line="360" w:lineRule="auto"/>
              <w:ind w:firstLine="20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这一节，作者用“奇”、“有味”、“像样”三个补语概括描述秋雨的特点。</w:t>
            </w:r>
          </w:p>
          <w:p w:rsidR="0050230F">
            <w:pPr>
              <w:spacing w:line="360" w:lineRule="auto"/>
              <w:ind w:firstLine="20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用拟声词“息列索落”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（</w:t>
            </w:r>
            <w:r>
              <w:rPr>
                <w:rFonts w:ascii="宋体" w:eastAsia="宋体" w:hAnsi="宋体" w:cs="宋体" w:hint="eastAsia"/>
                <w:color w:val="333333"/>
                <w:sz w:val="21"/>
                <w:szCs w:val="21"/>
                <w:shd w:val="clear" w:color="auto" w:fill="FFFFFF"/>
              </w:rPr>
              <w:t>形容细小琐碎的雨声</w:t>
            </w:r>
            <w:r>
              <w:rPr>
                <w:rFonts w:ascii="宋体" w:eastAsia="宋体" w:hAnsi="宋体" w:cs="宋体" w:hint="eastAsia"/>
                <w:color w:val="333333"/>
                <w:sz w:val="21"/>
                <w:szCs w:val="21"/>
                <w:shd w:val="clear" w:color="auto" w:fill="FFFFFF"/>
              </w:rPr>
              <w:t>,</w:t>
            </w:r>
            <w:r>
              <w:rPr>
                <w:rFonts w:ascii="宋体" w:eastAsia="宋体" w:hAnsi="宋体" w:cs="宋体" w:hint="eastAsia"/>
                <w:color w:val="333333"/>
                <w:sz w:val="21"/>
                <w:szCs w:val="21"/>
                <w:shd w:val="clear" w:color="auto" w:fill="FFFFFF"/>
              </w:rPr>
              <w:t>拟声词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）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形容雨声，最后描述都市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闲人话秋凉的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场景，</w:t>
            </w:r>
          </w:p>
          <w:p w:rsidR="0050230F">
            <w:pPr>
              <w:spacing w:line="360" w:lineRule="auto"/>
              <w:ind w:firstLine="204"/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用“缓慢悠闲”作定语修饰“声调”，“微叹着”作状语修饰“互答”，写出了人的神态，都突出了“清、静、悲凉”的气氛。</w:t>
            </w:r>
          </w:p>
          <w:p w:rsidR="0050230F">
            <w:pPr>
              <w:spacing w:line="360" w:lineRule="auto"/>
              <w:ind w:firstLine="20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秋果胜景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11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段）：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首句以“奇景”统领全段，二、三句写枣子之多、枣子的形状及结果的过程；第四句说明枣子成熟到“淡绿微黄”才是秋天的黄金季节。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这一段似乎基调比较明朗，但我们也应该知道，“收获的季节”到了，“西北风”也来了，“尘沙灰土”也来了。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写“红”也是“红完”。也是一种清、静的淡色。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 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小结：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作者所写的景似乎是信手拈来，无序，这正是散文形散特点的体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现，这些景虽散，却有一个共同的特点：清、静、悲凉。这就是文章不散的神。本文正体现了散文形散神不散的特点。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这样看来，本文写景，总的基调是“清、静、悲凉”。文章紧扣“清”“静”“悲凉”落笔，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将自然的“客观色彩”－－故都的秋色，与作家内心的“主观色彩”－－个人心情自然地融化在一起。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“秋中有情的眷念，情中有秋的寂寞。”以情驭景，以景显情，散文情景交融的特点展示无余。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、体会了故都秋景的清、静与悲凉特色，你对作者和生命换取故都的秋景是否有了更深的体会。这种令人伤怀的秋景若能常在，那该多好啊。现在我们再来读一下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最后一段，再来说一说你的感受。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生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齐读最后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一段。体会了故都秋景的清、静与悲凉，你对作者和生命换取故都的秋景是否有了更深的体会。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这份景色是美的，是作者所喜欢的，仅仅是喜欢足够表达情感么？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这是一种爱，一种深沉的爱。“我不远千里，要从杭州···这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故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都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的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味”他为赏秋不辞辛劳，可见爱秋之切！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 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6、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这种爱的源头和文化传统有关，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找同学读一下第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12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段。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秋天是最容易让你伤怀的季节，所以秋景也就最能勾起人对爱的眷恋。自古以来，写悲秋的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的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颂秋的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文章就很多。有的是“无边落木萧萧下”的悲凉，有的是“我言秋日胜春朝”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的乐观。所以作者在文中说“足见有感觉的动物……的感触来的。”这也体现了郁达夫散文浪漫主义感伤色彩的特点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这一段通过古今中外的引证，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说明感秋处处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有，而中国的文人最突出，秋的“深味非北方莫属”，还是为了突出北国之秋。这就使整个文章的情、景、理交融起来，充实了内容，深化了主题。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7、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这份深沉也和作者的个人的经历有关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PPT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展示郁达夫的经历。</w:t>
            </w:r>
          </w:p>
          <w:p w:rsidR="0050230F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郁达夫，三岁丧父，他很小的时候爱国热情就被释放，上学期间，多次参与学潮，被校方开除，母亲把他送到日本留学。在异国生活十年，时常为祖国的国际地位落后而深感悲哀苦恼，被羞辱是支那人，饱受屈辱和歧视。再加上当时的中国，连年战乱，民不聊生，郁达夫居无定所，颠沛流离，饱受人生愁苦，与郭沫若、陈仿吾等人，一起创立了创造社。郁达夫虽然没有像创造社同仁郭沫若、成仿吾那样投身到实际的革命斗争中去，但对反革命势力却是深恶痛绝的。这个时期他的《日记九种》，对国民党右派代表蒋介石的揭露和抨击十分激烈的。中国左翼作家联盟成立后，郁达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夫被列为发起人之一。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1932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月，他和鲁迅、茅盾等联名发表谴责日本帝国主义发动“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一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·二八”战争的《上海文化界告世界书》。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同学们，站在郁达夫的角度体会一下，这样人生经历会让作者对故都，对故都的秋有怎样的感情。这种感情又和最后一段的直抒胸臆有着怎样的联系？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当时国家山河破碎、内交外困的现实，为了保住祖国美好的东西，“愿把寿命的三分之二折去”，不仅抒</w:t>
            </w:r>
            <w:r>
              <w:rPr>
                <w:rFonts w:ascii="宋体" w:eastAsia="宋体" w:hAnsi="宋体" w:cs="宋体" w:hint="eastAsia"/>
                <w:noProof/>
                <w:sz w:val="21"/>
                <w:szCs w:val="21"/>
              </w:rPr>
              <w:drawing>
                <wp:inline distT="0" distB="0" distL="0" distR="0">
                  <wp:extent cx="12700" cy="19050"/>
                  <wp:effectExtent l="0" t="0" r="0" b="0"/>
                  <wp:docPr id="6" name="图片 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9014397" name="图片 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7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发了</w:t>
            </w:r>
            <w:r>
              <w:rPr>
                <w:rFonts w:ascii="宋体" w:eastAsia="宋体" w:hAnsi="宋体" w:cs="宋体" w:hint="eastAsia"/>
                <w:noProof/>
                <w:sz w:val="21"/>
                <w:szCs w:val="21"/>
              </w:rPr>
              <w:drawing>
                <wp:inline distT="0" distB="0" distL="0" distR="0">
                  <wp:extent cx="19050" cy="12700"/>
                  <wp:effectExtent l="0" t="0" r="0" b="0"/>
                  <wp:docPr id="5" name="图片 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7104814" name="图片 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8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赞美、眷恋故都自然风物的真情，也表现出了深沉的爱国之</w:t>
            </w:r>
            <w:r>
              <w:rPr>
                <w:rFonts w:ascii="宋体" w:eastAsia="宋体" w:hAnsi="宋体" w:cs="宋体" w:hint="eastAsia"/>
                <w:noProof/>
                <w:sz w:val="21"/>
                <w:szCs w:val="21"/>
              </w:rPr>
              <w:drawing>
                <wp:inline distT="0" distB="0" distL="0" distR="0">
                  <wp:extent cx="19050" cy="12700"/>
                  <wp:effectExtent l="0" t="0" r="0" b="0"/>
                  <wp:docPr id="4" name="图片 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5715540" name="图片 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8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情。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秋景寄寓了作者对故都的眷恋之情和感时忧国的心境，作者对故都有着这样深切的眷恋，这种无法割舍的爱，却不能留住在这个地方，安静的享用这里的生活，所以作者愿意将三分之二的寿命折去，换得故都秋景永驻。换得民安国康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、了解了作者的经历和当时的背景，你对最后一段话是否有了更深的感悟。再读，找同学说。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这里用三分之二的寿命换得的故都秋天的美景么，还是民安国康，换得国家的安定百姓生活的幸福。这里包含着的是对故都的热爱，是对国家前途的忧虑。</w:t>
            </w:r>
          </w:p>
          <w:p w:rsidR="0050230F">
            <w:pPr>
              <w:spacing w:line="360" w:lineRule="auto"/>
              <w:rPr>
                <w:rFonts w:ascii="宋体" w:eastAsia="宋体" w:hAnsi="宋体" w:cs="宋体"/>
                <w:bCs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9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文章的题目是《故都的秋》可是在开头与结尾为什么又写到了南国的秋？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 xml:space="preserve"> </w:t>
            </w:r>
          </w:p>
          <w:p w:rsidR="0050230F">
            <w:pPr>
              <w:spacing w:line="360" w:lineRule="auto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解析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：作者借南国的秋</w:t>
            </w:r>
            <w:r>
              <w:rPr>
                <w:rFonts w:ascii="宋体" w:eastAsia="宋体" w:hAnsi="宋体" w:cs="宋体" w:hint="eastAsia"/>
                <w:noProof/>
                <w:sz w:val="21"/>
                <w:szCs w:val="21"/>
              </w:rPr>
              <w:drawing>
                <wp:inline distT="0" distB="0" distL="114300" distR="114300">
                  <wp:extent cx="17780" cy="19050"/>
                  <wp:effectExtent l="0" t="0" r="1270" b="0"/>
                  <wp:docPr id="9" name="图片 1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3464247" name="图片 17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的温、润、慢，通过对比突出了北国之秋的清、静、悲凉是南</w:t>
            </w:r>
            <w:r>
              <w:rPr>
                <w:rFonts w:ascii="宋体" w:eastAsia="宋体" w:hAnsi="宋体" w:cs="宋体" w:hint="eastAsia"/>
                <w:noProof/>
                <w:sz w:val="21"/>
                <w:szCs w:val="21"/>
              </w:rPr>
              <w:drawing>
                <wp:inline distT="0" distB="0" distL="114300" distR="114300">
                  <wp:extent cx="20320" cy="21590"/>
                  <wp:effectExtent l="0" t="0" r="17780" b="6985"/>
                  <wp:docPr id="10" name="图片 1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4027816" name="图片 1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" cy="21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国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之秋所无法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比拟的，表达不可遏止的强烈的向往和赞美之情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　</w:t>
            </w:r>
            <w:r>
              <w:rPr>
                <w:rFonts w:ascii="宋体" w:eastAsia="宋体" w:hAnsi="宋体" w:cs="宋体"/>
                <w:sz w:val="21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、在这对比之中我们以更鲜明的感受到北国秋天的特点。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四个比喻从饮食文化入手，让人从饮食中的“味”去领悟秋之“味”，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从形象</w:t>
            </w:r>
            <w:r>
              <w:rPr>
                <w:rFonts w:ascii="宋体" w:eastAsia="宋体" w:hAnsi="宋体" w:cs="宋体" w:hint="eastAsia"/>
                <w:bCs/>
                <w:noProof/>
                <w:sz w:val="21"/>
                <w:szCs w:val="21"/>
              </w:rPr>
              <w:drawing>
                <wp:inline distT="0" distB="0" distL="114300" distR="114300">
                  <wp:extent cx="20320" cy="12700"/>
                  <wp:effectExtent l="0" t="0" r="0" b="0"/>
                  <wp:docPr id="11" name="图片 2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4889754" name="图片 2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的“味”去品味抽象的“味”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北国之秋像“白干、馍馍、大蟹、骆驼”，让人感到味烈、味</w:t>
            </w:r>
            <w:r>
              <w:rPr>
                <w:rFonts w:ascii="宋体" w:eastAsia="宋体" w:hAnsi="宋体" w:cs="宋体" w:hint="eastAsia"/>
                <w:noProof/>
                <w:sz w:val="21"/>
                <w:szCs w:val="21"/>
              </w:rPr>
              <w:drawing>
                <wp:inline distT="0" distB="0" distL="114300" distR="114300">
                  <wp:extent cx="17780" cy="22860"/>
                  <wp:effectExtent l="0" t="0" r="1270" b="5715"/>
                  <wp:docPr id="12" name="图片 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3970148" name="图片 7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深、味浓、味久，而南国之秋就像“黄酒、稀饭、</w:t>
            </w:r>
            <w:r>
              <w:rPr>
                <w:rFonts w:ascii="宋体" w:eastAsia="宋体" w:hAnsi="宋体" w:cs="宋体" w:hint="eastAsia"/>
                <w:noProof/>
                <w:sz w:val="21"/>
                <w:szCs w:val="21"/>
              </w:rPr>
              <w:drawing>
                <wp:inline distT="0" distB="0" distL="114300" distR="114300">
                  <wp:extent cx="22860" cy="19050"/>
                  <wp:effectExtent l="0" t="0" r="15240" b="0"/>
                  <wp:docPr id="13" name="图片 2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6142692" name="图片 2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鲈鱼、黄犬”让人感到味润、味浅、味淡、味短。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  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以北国之秋和南国之秋作对比，以南国之秋的“淡”衬托北国之秋的“浓”，表达对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北国之秋的向</w:t>
            </w:r>
            <w:r>
              <w:rPr>
                <w:rFonts w:ascii="宋体" w:eastAsia="宋体" w:hAnsi="宋体" w:cs="宋体" w:hint="eastAsia"/>
                <w:noProof/>
                <w:sz w:val="21"/>
                <w:szCs w:val="21"/>
              </w:rPr>
              <w:drawing>
                <wp:inline distT="0" distB="0" distL="114300" distR="114300">
                  <wp:extent cx="13970" cy="15240"/>
                  <wp:effectExtent l="0" t="0" r="0" b="0"/>
                  <wp:docPr id="14" name="图片 2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1653029" name="图片 2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" cy="15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往之情。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</w:rPr>
              <w:t>也照应了开头作者所说的“饱尝”。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三、拓展延伸：郁达夫和鲁迅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作者用伤感的笔触描写了故都的秋，展现了对故都深切的眷念之情，暗含了作者的爱国之情。在他同时代的鲁迅有和他相似的经历，却用不同的风格抒发着相似的感情。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请同学们对比二人的人生经历和写作风格，分析两人间的相同之处和不同之处。</w:t>
            </w: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4148"/>
              <w:gridCol w:w="4148"/>
            </w:tblGrid>
            <w:tr>
              <w:tblPrEx>
                <w:tblW w:w="0" w:type="auto"/>
                <w:tblLayout w:type="fixed"/>
                <w:tblLook w:val="04A0"/>
              </w:tblPrEx>
              <w:tc>
                <w:tcPr>
                  <w:tcW w:w="4148" w:type="dxa"/>
                </w:tcPr>
                <w:p w:rsidR="0050230F">
                  <w:pPr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color w:val="FFFFFF"/>
                      <w:sz w:val="21"/>
                      <w:szCs w:val="21"/>
                    </w:rPr>
                    <w:t>[</w:t>
                  </w:r>
                  <w:r>
                    <w:rPr>
                      <w:rFonts w:ascii="宋体" w:eastAsia="宋体" w:hAnsi="宋体" w:cs="宋体" w:hint="eastAsia"/>
                      <w:color w:val="FFFFFF"/>
                      <w:sz w:val="21"/>
                      <w:szCs w:val="21"/>
                    </w:rPr>
                    <w:t>来源</w:t>
                  </w:r>
                  <w:r>
                    <w:rPr>
                      <w:rFonts w:ascii="宋体" w:eastAsia="宋体" w:hAnsi="宋体" w:cs="宋体" w:hint="eastAsia"/>
                      <w:color w:val="FFFFFF"/>
                      <w:sz w:val="21"/>
                      <w:szCs w:val="21"/>
                    </w:rPr>
                    <w:t>: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宋体" w:eastAsia="宋体" w:hAnsi="宋体" w:cs="宋体" w:hint="eastAsia"/>
                      <w:sz w:val="21"/>
                      <w:szCs w:val="21"/>
                    </w:rPr>
                    <w:t>郁达夫</w:t>
                  </w:r>
                </w:p>
              </w:tc>
              <w:tc>
                <w:tcPr>
                  <w:tcW w:w="4148" w:type="dxa"/>
                </w:tcPr>
                <w:p w:rsidR="0050230F">
                  <w:pPr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 w:val="21"/>
                      <w:szCs w:val="21"/>
                    </w:rPr>
                    <w:t>鲁迅</w:t>
                  </w:r>
                </w:p>
              </w:tc>
            </w:tr>
            <w:tr>
              <w:tblPrEx>
                <w:tblW w:w="0" w:type="auto"/>
                <w:tblLayout w:type="fixed"/>
                <w:tblLook w:val="04A0"/>
              </w:tblPrEx>
              <w:tc>
                <w:tcPr>
                  <w:tcW w:w="4148" w:type="dxa"/>
                </w:tcPr>
                <w:p w:rsidR="0050230F">
                  <w:pPr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 w:val="21"/>
                      <w:szCs w:val="21"/>
                    </w:rPr>
                    <w:t>浙江人，中国现代文学初期的小说大师</w:t>
                  </w:r>
                </w:p>
              </w:tc>
              <w:tc>
                <w:tcPr>
                  <w:tcW w:w="4148" w:type="dxa"/>
                </w:tcPr>
                <w:p w:rsidR="0050230F">
                  <w:pPr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 w:val="21"/>
                      <w:szCs w:val="21"/>
                    </w:rPr>
                    <w:t>浙江人，中国现代文学初期的小说大师</w:t>
                  </w:r>
                </w:p>
              </w:tc>
            </w:tr>
            <w:tr>
              <w:tblPrEx>
                <w:tblW w:w="0" w:type="auto"/>
                <w:tblLayout w:type="fixed"/>
                <w:tblLook w:val="04A0"/>
              </w:tblPrEx>
              <w:tc>
                <w:tcPr>
                  <w:tcW w:w="4148" w:type="dxa"/>
                </w:tcPr>
                <w:p w:rsidR="0050230F">
                  <w:pPr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 w:val="21"/>
                      <w:szCs w:val="21"/>
                    </w:rPr>
                    <w:t>留学日本，从经济学走上文学创作道路</w:t>
                  </w:r>
                </w:p>
              </w:tc>
              <w:tc>
                <w:tcPr>
                  <w:tcW w:w="4148" w:type="dxa"/>
                </w:tcPr>
                <w:p w:rsidR="0050230F">
                  <w:pPr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 w:val="21"/>
                      <w:szCs w:val="21"/>
                    </w:rPr>
                    <w:t>留学日本，从医学走上文学创作道路</w:t>
                  </w:r>
                </w:p>
              </w:tc>
            </w:tr>
            <w:tr>
              <w:tblPrEx>
                <w:tblW w:w="0" w:type="auto"/>
                <w:tblLayout w:type="fixed"/>
                <w:tblLook w:val="04A0"/>
              </w:tblPrEx>
              <w:tc>
                <w:tcPr>
                  <w:tcW w:w="4148" w:type="dxa"/>
                </w:tcPr>
                <w:p w:rsidR="0050230F">
                  <w:pPr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 w:val="21"/>
                      <w:szCs w:val="21"/>
                    </w:rPr>
                    <w:t>强调主观表现，注重抒情色彩，浪漫主义倾向</w:t>
                  </w:r>
                </w:p>
              </w:tc>
              <w:tc>
                <w:tcPr>
                  <w:tcW w:w="4148" w:type="dxa"/>
                </w:tcPr>
                <w:p w:rsidR="0050230F">
                  <w:pPr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 w:val="21"/>
                      <w:szCs w:val="21"/>
                    </w:rPr>
                    <w:t>现实主义倾向</w:t>
                  </w:r>
                </w:p>
              </w:tc>
            </w:tr>
            <w:tr>
              <w:tblPrEx>
                <w:tblW w:w="0" w:type="auto"/>
                <w:tblLayout w:type="fixed"/>
                <w:tblLook w:val="04A0"/>
              </w:tblPrEx>
              <w:tc>
                <w:tcPr>
                  <w:tcW w:w="4148" w:type="dxa"/>
                </w:tcPr>
                <w:p w:rsidR="0050230F">
                  <w:pPr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 w:val="21"/>
                      <w:szCs w:val="21"/>
                    </w:rPr>
                    <w:t>忧郁伤感</w:t>
                  </w:r>
                </w:p>
              </w:tc>
              <w:tc>
                <w:tcPr>
                  <w:tcW w:w="4148" w:type="dxa"/>
                </w:tcPr>
                <w:p w:rsidR="0050230F">
                  <w:pPr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 w:val="21"/>
                      <w:szCs w:val="21"/>
                    </w:rPr>
                    <w:t>忧愤深广</w:t>
                  </w:r>
                </w:p>
              </w:tc>
            </w:tr>
            <w:tr>
              <w:tblPrEx>
                <w:tblW w:w="0" w:type="auto"/>
                <w:tblLayout w:type="fixed"/>
                <w:tblLook w:val="04A0"/>
              </w:tblPrEx>
              <w:tc>
                <w:tcPr>
                  <w:tcW w:w="4148" w:type="dxa"/>
                </w:tcPr>
                <w:p w:rsidR="0050230F">
                  <w:pPr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</w:p>
                <w:p w:rsidR="0050230F">
                  <w:pPr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 w:val="21"/>
                      <w:szCs w:val="21"/>
                    </w:rPr>
                    <w:t>《沉沦》中的“他”经常感慨：“中国呀中国！你怎么不富强起来”“你怎么不强大起来！”直到最后，他心力交疲，决定自绝于大海的时候，他还发出满腔的悲愤，面对隔岸的故国喊道：“祖国呵祖国！我的死是你害的！你快富起来，强起来吧！你还有许多儿女在那里受苦呢！”</w:t>
                  </w:r>
                  <w:r>
                    <w:rPr>
                      <w:rFonts w:ascii="宋体" w:eastAsia="宋体" w:hAnsi="宋体" w:cs="宋体" w:hint="eastAsia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宋体" w:eastAsia="宋体" w:hAnsi="宋体" w:cs="宋体" w:hint="eastAsia"/>
                      <w:sz w:val="21"/>
                      <w:szCs w:val="21"/>
                    </w:rPr>
                    <w:t>自绝于大海，这就是沉沦者的反抗。</w:t>
                  </w:r>
                </w:p>
                <w:p w:rsidR="0050230F">
                  <w:pPr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148" w:type="dxa"/>
                </w:tcPr>
                <w:p w:rsidR="0050230F">
                  <w:pPr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 w:val="21"/>
                      <w:szCs w:val="21"/>
                    </w:rPr>
                    <w:t> </w:t>
                  </w:r>
                  <w:r>
                    <w:rPr>
                      <w:rFonts w:ascii="宋体" w:eastAsia="宋体" w:hAnsi="宋体" w:cs="宋体" w:hint="eastAsia"/>
                      <w:sz w:val="21"/>
                      <w:szCs w:val="21"/>
                    </w:rPr>
                    <w:t>《呐喊》，意思是“呐喊几声，聊以慰藉那在寂寞里奔驰的猛士，使他不惮于前驱”。虽整本书却有一个相对集中的主题，那就是对整个中国社会的思考。一是对</w:t>
                  </w:r>
                  <w:r>
                    <w:rPr>
                      <w:rFonts w:ascii="宋体" w:eastAsia="宋体" w:hAnsi="宋体" w:cs="宋体" w:hint="eastAsia"/>
                      <w:sz w:val="21"/>
                      <w:szCs w:val="21"/>
                    </w:rPr>
                    <w:t>封建制度和礼教的彻底揭露和批判。二是关于对辛亥革命经验教训的总结，以及对改造国民性问题的关注。</w:t>
                  </w:r>
                  <w:r>
                    <w:rPr>
                      <w:rFonts w:ascii="宋体" w:eastAsia="宋体" w:hAnsi="宋体" w:cs="宋体" w:hint="eastAsia"/>
                      <w:sz w:val="21"/>
                      <w:szCs w:val="21"/>
                    </w:rPr>
                    <w:br/>
                  </w:r>
                </w:p>
              </w:tc>
            </w:tr>
            <w:tr>
              <w:tblPrEx>
                <w:tblW w:w="0" w:type="auto"/>
                <w:tblLayout w:type="fixed"/>
                <w:tblLook w:val="04A0"/>
              </w:tblPrEx>
              <w:tc>
                <w:tcPr>
                  <w:tcW w:w="4148" w:type="dxa"/>
                </w:tcPr>
                <w:p w:rsidR="0050230F">
                  <w:pPr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148" w:type="dxa"/>
                </w:tcPr>
                <w:p w:rsidR="0050230F">
                  <w:pPr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</w:p>
              </w:tc>
            </w:tr>
            <w:tr>
              <w:tblPrEx>
                <w:tblW w:w="0" w:type="auto"/>
                <w:tblLayout w:type="fixed"/>
                <w:tblLook w:val="04A0"/>
              </w:tblPrEx>
              <w:tc>
                <w:tcPr>
                  <w:tcW w:w="4148" w:type="dxa"/>
                </w:tcPr>
                <w:p w:rsidR="0050230F">
                  <w:pPr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4148" w:type="dxa"/>
                </w:tcPr>
                <w:p w:rsidR="0050230F">
                  <w:pPr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</w:p>
              </w:tc>
            </w:tr>
          </w:tbl>
          <w:p w:rsidR="0050230F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四、总结：</w:t>
            </w:r>
          </w:p>
          <w:p w:rsidR="0050230F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郁达夫，是一个爱国的人，与鲁迅一样，都是以笔为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戎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，虽然他们的风格都不一样，但是他们的心思都是一样，面对敌国侵略，从来都不肯弯腰，用自己的文字，表达着对祖国深沉的爱。故都的秋，这是郁达夫特别出名的文章，从这些字词中，对于他的深情和当时生活在乱世之中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的人们对于家国康泰的向往，需要我们细细去品味。</w:t>
            </w:r>
          </w:p>
          <w:p w:rsidR="0050230F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五、作业</w:t>
            </w:r>
          </w:p>
          <w:p w:rsidR="0050230F">
            <w:pPr>
              <w:ind w:firstLine="420" w:firstLineChars="20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搜集郁达夫和鲁迅的相关资料，对比二人作品和情感的同异，将本节课拓展延伸部分的见解写成一篇赏析文章。</w:t>
            </w:r>
          </w:p>
          <w:p w:rsidR="0050230F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板书设计</w:t>
            </w:r>
          </w:p>
          <w:p w:rsidR="0050230F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故都的秋</w:t>
            </w:r>
          </w:p>
          <w:p w:rsidR="0050230F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庭院秋景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秋槐落蕊</w:t>
            </w:r>
          </w:p>
          <w:p w:rsidR="0050230F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秋蝉悲鸣秋雨话凉</w:t>
            </w:r>
          </w:p>
          <w:p w:rsidR="0050230F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秋果胜景</w:t>
            </w:r>
          </w:p>
          <w:p w:rsidR="0050230F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50230F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备用材料：</w:t>
            </w:r>
          </w:p>
          <w:p w:rsidR="0050230F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　“零余者”　一些文静、敏感、忧郁、怀才不遇、孤高傲世的才子，称自己是“弱者”、是“无用之人”，宁肯自虐或自我毁灭，也不会作困兽犹斗状的反抗</w:t>
            </w:r>
          </w:p>
          <w:p w:rsidR="0050230F">
            <w:pPr>
              <w:ind w:firstLine="421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小说像《孔乙己》对科举制度和等级制度的批判，《故乡》中封建意识对人性的戕害，都表现出了鲁迅不遗余力的批判精神。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　　国民性是鲁迅一生关注的问题，他在自己的文学创作中表现出沉重的失望，其忧虑和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批判也更加深刻。《阿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Q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正传》</w:t>
            </w:r>
          </w:p>
          <w:p w:rsidR="0050230F">
            <w:pPr>
              <w:ind w:firstLine="421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《药》以两条线索写了愚昧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民众华老栓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一家和革命者夏瑜的悲剧命运，突出了觉悟者与不觉悟的民众之间的思想隔膜。</w:t>
            </w:r>
          </w:p>
          <w:p w:rsidR="0050230F">
            <w:pPr>
              <w:ind w:firstLine="421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鲁迅小说的抒情，是经过理性的深思熟虑的、是受理性控制的、更富于艺术节制感和分寸感的抒情。鲁迅总是把叙述、议论、抒情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揉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合起来，也把各种复杂的感情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揉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合起来，时而通过环境气氛，时而通过揉进各种复杂感情的意象，来传达作家要抒发的感情。因此，鲁迅小说的抒情风格更深沉，更耐人寻味，常常给读者一种深不可测的感觉。这种深不可测，也使一般的读者不容易认识、理解和把握，自然也不容易欣赏。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　　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郁达夫小说的抒情风格，是毫无顾忌地袒露自己的感情世界，不仅直抒胸臆，而且甚至还带着一种夸张的意味，从而带上他自己的独特的个性。郁达夫小说的抒情，从来不受自己理性的控制，也不想用什么艺术的分寸感、距离感来限制自己；相反，他总是对自己笔下的零余者产生认同感，因为零余者就是他的自叙传，郁达夫把自己进入创作状态的激发的强烈的感情，一股脑儿全装进主人公的形象中去，淋漓尽致，一泻无余，毫无保留，这才感受到创作的快意。因此，郁达夫的抒情小说风格，具有某种直观性，容易感觉到，虽然也不一定就能准确地理解和把握，然而却直接拨动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读者的感情，更容易引起青年读者的共鸣。</w:t>
            </w:r>
          </w:p>
          <w:p w:rsidR="0050230F">
            <w:pPr>
              <w:pStyle w:val="NormalWeb"/>
              <w:ind w:firstLine="435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82" w:type="dxa"/>
            <w:vAlign w:val="center"/>
          </w:tcPr>
          <w:p w:rsidR="0050230F">
            <w:pPr>
              <w:widowControl w:val="0"/>
              <w:spacing w:after="0"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</w:tr>
    </w:tbl>
    <w:p w:rsidR="0050230F">
      <w:pPr>
        <w:spacing w:line="220" w:lineRule="atLeast"/>
      </w:pPr>
    </w:p>
    <w:sectPr>
      <w:pgSz w:w="11906" w:h="16838"/>
      <w:pgMar w:top="1440" w:right="1080" w:bottom="1440" w:left="108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AF507E2"/>
    <w:multiLevelType w:val="multilevel"/>
    <w:tmpl w:val="3AF507E2"/>
    <w:lvl w:ilvl="0">
      <w:start w:val="1"/>
      <w:numFmt w:val="japaneseCounting"/>
      <w:lvlText w:val="%1、"/>
      <w:lvlJc w:val="left"/>
      <w:pPr>
        <w:ind w:left="692" w:hanging="408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79C0196E"/>
    <w:multiLevelType w:val="multilevel"/>
    <w:tmpl w:val="79C0196E"/>
    <w:lvl w:ilvl="0">
      <w:start w:val="1"/>
      <w:numFmt w:val="decimal"/>
      <w:lvlText w:val="（%1）"/>
      <w:lvlJc w:val="left"/>
      <w:pPr>
        <w:ind w:left="11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80" w:hanging="420"/>
      </w:pPr>
    </w:lvl>
    <w:lvl w:ilvl="2">
      <w:start w:val="1"/>
      <w:numFmt w:val="lowerRoman"/>
      <w:lvlText w:val="%3."/>
      <w:lvlJc w:val="right"/>
      <w:pPr>
        <w:ind w:left="1700" w:hanging="420"/>
      </w:pPr>
    </w:lvl>
    <w:lvl w:ilvl="3">
      <w:start w:val="1"/>
      <w:numFmt w:val="decimal"/>
      <w:lvlText w:val="%4."/>
      <w:lvlJc w:val="left"/>
      <w:pPr>
        <w:ind w:left="2120" w:hanging="420"/>
      </w:pPr>
    </w:lvl>
    <w:lvl w:ilvl="4">
      <w:start w:val="1"/>
      <w:numFmt w:val="lowerLetter"/>
      <w:lvlText w:val="%5)"/>
      <w:lvlJc w:val="left"/>
      <w:pPr>
        <w:ind w:left="2540" w:hanging="420"/>
      </w:pPr>
    </w:lvl>
    <w:lvl w:ilvl="5">
      <w:start w:val="1"/>
      <w:numFmt w:val="lowerRoman"/>
      <w:lvlText w:val="%6."/>
      <w:lvlJc w:val="right"/>
      <w:pPr>
        <w:ind w:left="2960" w:hanging="420"/>
      </w:pPr>
    </w:lvl>
    <w:lvl w:ilvl="6">
      <w:start w:val="1"/>
      <w:numFmt w:val="decimal"/>
      <w:lvlText w:val="%7."/>
      <w:lvlJc w:val="left"/>
      <w:pPr>
        <w:ind w:left="3380" w:hanging="420"/>
      </w:pPr>
    </w:lvl>
    <w:lvl w:ilvl="7">
      <w:start w:val="1"/>
      <w:numFmt w:val="lowerLetter"/>
      <w:lvlText w:val="%8)"/>
      <w:lvlJc w:val="left"/>
      <w:pPr>
        <w:ind w:left="3800" w:hanging="420"/>
      </w:pPr>
    </w:lvl>
    <w:lvl w:ilvl="8">
      <w:start w:val="1"/>
      <w:numFmt w:val="lowerRoman"/>
      <w:lvlText w:val="%9."/>
      <w:lvlJc w:val="right"/>
      <w:pPr>
        <w:ind w:left="42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72444"/>
    <w:rsid w:val="001A19DD"/>
    <w:rsid w:val="001E6BBF"/>
    <w:rsid w:val="00254ADE"/>
    <w:rsid w:val="00323B43"/>
    <w:rsid w:val="00360DF9"/>
    <w:rsid w:val="00373E14"/>
    <w:rsid w:val="003D37D8"/>
    <w:rsid w:val="004164D4"/>
    <w:rsid w:val="00426133"/>
    <w:rsid w:val="004358AB"/>
    <w:rsid w:val="0050230F"/>
    <w:rsid w:val="00534BBE"/>
    <w:rsid w:val="00541E66"/>
    <w:rsid w:val="00546974"/>
    <w:rsid w:val="006277EE"/>
    <w:rsid w:val="00656A93"/>
    <w:rsid w:val="006B4B89"/>
    <w:rsid w:val="006E679B"/>
    <w:rsid w:val="007265BE"/>
    <w:rsid w:val="0077361C"/>
    <w:rsid w:val="00782EE7"/>
    <w:rsid w:val="007A3FA1"/>
    <w:rsid w:val="007D7088"/>
    <w:rsid w:val="008013DD"/>
    <w:rsid w:val="00814E66"/>
    <w:rsid w:val="00822BAD"/>
    <w:rsid w:val="008B7726"/>
    <w:rsid w:val="008F3A22"/>
    <w:rsid w:val="00901DC0"/>
    <w:rsid w:val="009D5AEA"/>
    <w:rsid w:val="009E50FB"/>
    <w:rsid w:val="00A00699"/>
    <w:rsid w:val="00A54C47"/>
    <w:rsid w:val="00A85A18"/>
    <w:rsid w:val="00B5441C"/>
    <w:rsid w:val="00B57777"/>
    <w:rsid w:val="00B61EDD"/>
    <w:rsid w:val="00B64E9F"/>
    <w:rsid w:val="00B80790"/>
    <w:rsid w:val="00C00D65"/>
    <w:rsid w:val="00C174D6"/>
    <w:rsid w:val="00C9486B"/>
    <w:rsid w:val="00CE6EA2"/>
    <w:rsid w:val="00CF5EDC"/>
    <w:rsid w:val="00D31D50"/>
    <w:rsid w:val="00D978E1"/>
    <w:rsid w:val="00DA5FF0"/>
    <w:rsid w:val="00E016E3"/>
    <w:rsid w:val="00E2509E"/>
    <w:rsid w:val="00F11122"/>
    <w:rsid w:val="00F9169C"/>
    <w:rsid w:val="00FA2578"/>
    <w:rsid w:val="26C11801"/>
    <w:rsid w:val="739217E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4BED2CE3-CA9A-42CD-9ABA-00F85F34D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a2"/>
    <w:pPr>
      <w:widowControl w:val="0"/>
      <w:adjustRightInd/>
      <w:snapToGrid/>
      <w:spacing w:after="0"/>
      <w:ind w:left="551" w:hanging="551" w:hangingChars="200"/>
      <w:jc w:val="both"/>
    </w:pPr>
    <w:rPr>
      <w:rFonts w:ascii="宋体" w:eastAsia="宋体" w:hAnsi="宋体" w:cs="Times New Roman" w:hint="eastAsia"/>
      <w:b/>
      <w:bCs/>
      <w:color w:val="800080"/>
      <w:sz w:val="28"/>
    </w:rPr>
  </w:style>
  <w:style w:type="paragraph" w:styleId="PlainText">
    <w:name w:val="Plain Text"/>
    <w:basedOn w:val="Normal"/>
    <w:link w:val="a3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NormalWeb">
    <w:name w:val="Normal (Web)"/>
    <w:basedOn w:val="Normal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TableGrid">
    <w:name w:val="Table Grid"/>
    <w:basedOn w:val="TableNormal"/>
    <w:uiPriority w:val="39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页眉 字符"/>
    <w:basedOn w:val="DefaultParagraphFont"/>
    <w:link w:val="Header"/>
    <w:uiPriority w:val="99"/>
    <w:qFormat/>
    <w:rPr>
      <w:rFonts w:ascii="Tahoma" w:hAnsi="Tahoma"/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Pr>
      <w:rFonts w:ascii="Tahoma" w:hAnsi="Tahoma"/>
      <w:sz w:val="18"/>
      <w:szCs w:val="18"/>
    </w:rPr>
  </w:style>
  <w:style w:type="paragraph" w:customStyle="1" w:styleId="a1">
    <w:name w:val="网校正文"/>
    <w:basedOn w:val="Normal"/>
    <w:pPr>
      <w:widowControl w:val="0"/>
      <w:adjustRightInd/>
      <w:snapToGrid/>
      <w:spacing w:afterLines="50"/>
      <w:ind w:firstLine="200" w:firstLineChars="200"/>
    </w:pPr>
    <w:rPr>
      <w:rFonts w:ascii="Times New Roman" w:eastAsia="宋体" w:hAnsi="Times New Roman" w:cs="Times New Roman"/>
      <w:kern w:val="2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paragraph" w:customStyle="1" w:styleId="NewNewNewNewNew">
    <w:name w:val="正文 New New New New New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2">
    <w:name w:val="正文文本缩进 字符"/>
    <w:basedOn w:val="DefaultParagraphFont"/>
    <w:link w:val="BodyTextIndent"/>
    <w:rPr>
      <w:rFonts w:ascii="宋体" w:eastAsia="宋体" w:hAnsi="宋体" w:cs="Times New Roman"/>
      <w:b/>
      <w:bCs/>
      <w:color w:val="800080"/>
      <w:sz w:val="28"/>
      <w:szCs w:val="22"/>
    </w:rPr>
  </w:style>
  <w:style w:type="character" w:customStyle="1" w:styleId="a3">
    <w:name w:val="纯文本 字符"/>
    <w:basedOn w:val="DefaultParagraphFont"/>
    <w:link w:val="PlainText"/>
    <w:rPr>
      <w:rFonts w:ascii="宋体" w:eastAsia="宋体" w:hAnsi="Courier New" w:cs="Courier New"/>
      <w:kern w:val="2"/>
      <w:sz w:val="21"/>
      <w:szCs w:val="21"/>
    </w:rPr>
  </w:style>
  <w:style w:type="paragraph" w:customStyle="1" w:styleId="p0">
    <w:name w:val="p0"/>
    <w:basedOn w:val="Normal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822</Words>
  <Characters>4692</Characters>
  <Application>Microsoft Office Word</Application>
  <DocSecurity>0</DocSecurity>
  <Lines>39</Lines>
  <Paragraphs>11</Paragraphs>
  <ScaleCrop>false</ScaleCrop>
  <Company>Microsoft</Company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24</cp:revision>
  <dcterms:created xsi:type="dcterms:W3CDTF">2008-09-11T17:20:00Z</dcterms:created>
  <dcterms:modified xsi:type="dcterms:W3CDTF">2019-12-12T01:25:00Z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