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D16" w:rsidRPr="006C0EB1" w:rsidRDefault="003E57E0" w:rsidP="006C0EB1">
      <w:pPr>
        <w:widowControl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1"/>
        </w:rPr>
      </w:pPr>
      <w:bookmarkStart w:id="0" w:name="_GoBack"/>
      <w:bookmarkEnd w:id="0"/>
      <w:r w:rsidRPr="006C0EB1">
        <w:rPr>
          <w:rFonts w:ascii="宋体" w:eastAsia="宋体" w:hAnsi="宋体" w:cs="Times New Roman"/>
          <w:b/>
          <w:bCs/>
          <w:noProof/>
          <w:kern w:val="44"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11531600</wp:posOffset>
            </wp:positionV>
            <wp:extent cx="292100" cy="3810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46464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0EB1">
        <w:rPr>
          <w:rFonts w:ascii="宋体" w:eastAsia="宋体" w:hAnsi="宋体" w:cs="Times New Roman"/>
          <w:b/>
          <w:bCs/>
          <w:kern w:val="44"/>
          <w:sz w:val="28"/>
          <w:szCs w:val="21"/>
        </w:rPr>
        <w:t xml:space="preserve">15　</w:t>
      </w:r>
      <w:r w:rsidRPr="006C0EB1">
        <w:rPr>
          <w:rFonts w:ascii="宋体" w:eastAsia="宋体" w:hAnsi="宋体" w:cs="Times New Roman" w:hint="eastAsia"/>
          <w:b/>
          <w:bCs/>
          <w:kern w:val="44"/>
          <w:sz w:val="28"/>
          <w:szCs w:val="21"/>
        </w:rPr>
        <w:t>《</w:t>
      </w:r>
      <w:r w:rsidRPr="006C0EB1">
        <w:rPr>
          <w:rFonts w:ascii="宋体" w:eastAsia="宋体" w:hAnsi="宋体" w:cs="Times New Roman"/>
          <w:b/>
          <w:bCs/>
          <w:kern w:val="44"/>
          <w:sz w:val="28"/>
          <w:szCs w:val="21"/>
        </w:rPr>
        <w:t>无言之美</w:t>
      </w:r>
      <w:r w:rsidRPr="006C0EB1">
        <w:rPr>
          <w:rFonts w:ascii="宋体" w:eastAsia="宋体" w:hAnsi="宋体" w:cs="Times New Roman" w:hint="eastAsia"/>
          <w:b/>
          <w:bCs/>
          <w:kern w:val="44"/>
          <w:sz w:val="28"/>
          <w:szCs w:val="21"/>
        </w:rPr>
        <w:t>》同步教案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【教学目标】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1.把握文章的核心概念，了解概念间的关系，理解作者的主要观点。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2.梳理文章的论述思路，分析作者所举实例，体会其与作者观点的关系。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3.借鉴文中的理论方法，学习鉴赏文学作品和艺术作品。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4.拓展阅读，质疑反思，形成自己的认识和看法。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【教学重点】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通过学习这篇课文，激发学生对“无言之美”的思考。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【教学难点】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学习并掌握本文运用多种论证方法证明观点的写作手法。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【课时安排】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1课时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【教学过程】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一、新课导入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A．大漠孤烟直，长河落日圆。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B．荒漠中一缕炊烟升起，因为没有风，多以它显得特别直；远方横着一条大河，落日好像自河面上升起，看起来格外的圆。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比较A、B两个句子，你觉得哪个句子更有意境，更能打动人？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A句。虽然B句描写得十分详细，还包括了A句中的景物，但是，它缺失了A句中悲凉雄浑的意境。通过观察我们可以看出B句的描写更加细致，为何反而达不到A句的效果呢？难道是因为说得太多反而不够好？也许，我们今天学习的课文内容，能够解答这个疑问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二、自主预习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1．作者介绍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朱光潜(1897—1986)，现代美学家，文艺理论家。笔名孟实，安徽桐城人。朱光潜是我国现代美学的开拓者和奠基人之一，也是第一个在中国广泛介绍西方美学的人。他以自己深湛的研究沟通了西方美学和中国传统美学，沟通了“五四”以来中国现代美学和当代美学。他是中国美学史上一座横跨古今、沟通中外的“桥梁”，是我国现当代最负盛名并赢得崇高国际声誉的美学大师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2．检查字词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(1)订正字音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意</w:t>
      </w:r>
      <w:r w:rsidRPr="006C0EB1">
        <w:rPr>
          <w:rFonts w:ascii="宋体" w:eastAsia="宋体" w:hAnsi="宋体" w:cs="Times New Roman"/>
          <w:szCs w:val="21"/>
          <w:em w:val="underDot"/>
        </w:rPr>
        <w:t>蕴</w:t>
      </w:r>
      <w:r w:rsidRPr="006C0EB1">
        <w:rPr>
          <w:rFonts w:ascii="宋体" w:eastAsia="宋体" w:hAnsi="宋体" w:cs="Times New Roman"/>
          <w:szCs w:val="21"/>
        </w:rPr>
        <w:t xml:space="preserve">(yùn)　　　</w:t>
      </w:r>
      <w:r w:rsidRPr="006C0EB1">
        <w:rPr>
          <w:rFonts w:ascii="宋体" w:eastAsia="宋体" w:hAnsi="宋体" w:cs="Times New Roman" w:hint="eastAsia"/>
          <w:szCs w:val="21"/>
        </w:rPr>
        <w:tab/>
      </w:r>
      <w:r w:rsidRPr="006C0EB1">
        <w:rPr>
          <w:rFonts w:ascii="宋体" w:eastAsia="宋体" w:hAnsi="宋体" w:cs="Times New Roman"/>
          <w:szCs w:val="21"/>
          <w:em w:val="underDot"/>
        </w:rPr>
        <w:t>缥缈</w:t>
      </w:r>
      <w:r w:rsidRPr="006C0EB1">
        <w:rPr>
          <w:rFonts w:ascii="宋体" w:eastAsia="宋体" w:hAnsi="宋体" w:cs="Times New Roman"/>
          <w:szCs w:val="21"/>
        </w:rPr>
        <w:t>(piāo miǎo)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  <w:em w:val="underDot"/>
        </w:rPr>
        <w:t>附</w:t>
      </w:r>
      <w:r w:rsidRPr="006C0EB1">
        <w:rPr>
          <w:rFonts w:ascii="宋体" w:eastAsia="宋体" w:hAnsi="宋体" w:cs="Times New Roman"/>
          <w:szCs w:val="21"/>
        </w:rPr>
        <w:t>丽(fù)</w:t>
      </w:r>
      <w:r w:rsidRPr="006C0EB1">
        <w:rPr>
          <w:rFonts w:ascii="宋体" w:eastAsia="宋体" w:hAnsi="宋体" w:cs="Times New Roman"/>
          <w:szCs w:val="21"/>
        </w:rPr>
        <w:tab/>
      </w:r>
      <w:r w:rsidRPr="006C0EB1">
        <w:rPr>
          <w:rFonts w:ascii="宋体" w:eastAsia="宋体" w:hAnsi="宋体" w:cs="Times New Roman"/>
          <w:szCs w:val="21"/>
          <w:em w:val="underDot"/>
        </w:rPr>
        <w:t>铢</w:t>
      </w:r>
      <w:r w:rsidRPr="006C0EB1">
        <w:rPr>
          <w:rFonts w:ascii="宋体" w:eastAsia="宋体" w:hAnsi="宋体" w:cs="Times New Roman"/>
          <w:szCs w:val="21"/>
        </w:rPr>
        <w:t>两悉</w:t>
      </w:r>
      <w:r w:rsidRPr="006C0EB1">
        <w:rPr>
          <w:rFonts w:ascii="宋体" w:eastAsia="宋体" w:hAnsi="宋体" w:cs="Times New Roman"/>
          <w:szCs w:val="21"/>
          <w:em w:val="underDot"/>
        </w:rPr>
        <w:t>称</w:t>
      </w:r>
      <w:r w:rsidRPr="006C0EB1">
        <w:rPr>
          <w:rFonts w:ascii="宋体" w:eastAsia="宋体" w:hAnsi="宋体" w:cs="Times New Roman"/>
          <w:szCs w:val="21"/>
        </w:rPr>
        <w:t>(zhū chèn)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惟妙惟</w:t>
      </w:r>
      <w:r w:rsidRPr="006C0EB1">
        <w:rPr>
          <w:rFonts w:ascii="宋体" w:eastAsia="宋体" w:hAnsi="宋体" w:cs="Times New Roman"/>
          <w:szCs w:val="21"/>
          <w:em w:val="underDot"/>
        </w:rPr>
        <w:t>肖</w:t>
      </w:r>
      <w:r w:rsidRPr="006C0EB1">
        <w:rPr>
          <w:rFonts w:ascii="宋体" w:eastAsia="宋体" w:hAnsi="宋体" w:cs="Times New Roman"/>
          <w:szCs w:val="21"/>
        </w:rPr>
        <w:t>(xiào)</w:t>
      </w:r>
      <w:r w:rsidRPr="006C0EB1">
        <w:rPr>
          <w:rFonts w:ascii="宋体" w:eastAsia="宋体" w:hAnsi="宋体" w:cs="Times New Roman"/>
          <w:szCs w:val="21"/>
        </w:rPr>
        <w:tab/>
        <w:t>寂</w:t>
      </w:r>
      <w:r w:rsidRPr="006C0EB1">
        <w:rPr>
          <w:rFonts w:ascii="宋体" w:eastAsia="宋体" w:hAnsi="宋体" w:cs="Times New Roman"/>
          <w:szCs w:val="21"/>
          <w:em w:val="underDot"/>
        </w:rPr>
        <w:t>寥</w:t>
      </w:r>
      <w:r w:rsidRPr="006C0EB1">
        <w:rPr>
          <w:rFonts w:ascii="宋体" w:eastAsia="宋体" w:hAnsi="宋体" w:cs="Times New Roman"/>
          <w:szCs w:val="21"/>
        </w:rPr>
        <w:t>(liáo)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proofErr w:type="gramStart"/>
      <w:r w:rsidRPr="006C0EB1">
        <w:rPr>
          <w:rFonts w:ascii="宋体" w:eastAsia="宋体" w:hAnsi="宋体" w:cs="Times New Roman"/>
          <w:szCs w:val="21"/>
        </w:rPr>
        <w:lastRenderedPageBreak/>
        <w:t>渊</w:t>
      </w:r>
      <w:r w:rsidRPr="006C0EB1">
        <w:rPr>
          <w:rFonts w:ascii="宋体" w:eastAsia="宋体" w:hAnsi="宋体" w:cs="Times New Roman"/>
          <w:szCs w:val="21"/>
          <w:em w:val="underDot"/>
        </w:rPr>
        <w:t>穆</w:t>
      </w:r>
      <w:proofErr w:type="gramEnd"/>
      <w:r w:rsidRPr="006C0EB1">
        <w:rPr>
          <w:rFonts w:ascii="宋体" w:eastAsia="宋体" w:hAnsi="宋体" w:cs="Times New Roman"/>
          <w:szCs w:val="21"/>
        </w:rPr>
        <w:t>(mù)</w:t>
      </w:r>
      <w:r w:rsidRPr="006C0EB1">
        <w:rPr>
          <w:rFonts w:ascii="宋体" w:eastAsia="宋体" w:hAnsi="宋体" w:cs="Times New Roman"/>
          <w:szCs w:val="21"/>
        </w:rPr>
        <w:tab/>
        <w:t>信手</w:t>
      </w:r>
      <w:r w:rsidRPr="006C0EB1">
        <w:rPr>
          <w:rFonts w:ascii="宋体" w:eastAsia="宋体" w:hAnsi="宋体" w:cs="Times New Roman"/>
          <w:szCs w:val="21"/>
          <w:em w:val="underDot"/>
        </w:rPr>
        <w:t>拈</w:t>
      </w:r>
      <w:r w:rsidRPr="006C0EB1">
        <w:rPr>
          <w:rFonts w:ascii="宋体" w:eastAsia="宋体" w:hAnsi="宋体" w:cs="Times New Roman"/>
          <w:szCs w:val="21"/>
        </w:rPr>
        <w:t>来(niān)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臭</w:t>
      </w:r>
      <w:r w:rsidRPr="006C0EB1">
        <w:rPr>
          <w:rFonts w:ascii="宋体" w:eastAsia="宋体" w:hAnsi="宋体" w:cs="宋体-方正超大字符集"/>
          <w:szCs w:val="21"/>
        </w:rPr>
        <w:fldChar w:fldCharType="begin"/>
      </w:r>
      <w:r w:rsidRPr="006C0EB1">
        <w:rPr>
          <w:rFonts w:ascii="宋体" w:eastAsia="宋体" w:hAnsi="宋体" w:cs="宋体-方正超大字符集" w:hint="eastAsia"/>
          <w:szCs w:val="21"/>
        </w:rPr>
        <w:instrText>eq \</w:instrText>
      </w:r>
      <w:r w:rsidRPr="006C0EB1">
        <w:rPr>
          <w:rFonts w:ascii="宋体" w:eastAsia="宋体" w:hAnsi="宋体" w:cs="Times New Roman"/>
          <w:szCs w:val="21"/>
        </w:rPr>
        <w:instrText>b\lc\{\rc\ (\a\vs4\al\co1(</w:instrText>
      </w:r>
      <w:r w:rsidRPr="006C0EB1">
        <w:rPr>
          <w:rFonts w:ascii="宋体" w:eastAsia="宋体" w:hAnsi="宋体" w:cs="Times New Roman"/>
          <w:szCs w:val="21"/>
        </w:rPr>
        <w:sym w:font="宋体" w:char="F028"/>
      </w:r>
      <w:r w:rsidRPr="006C0EB1">
        <w:rPr>
          <w:rFonts w:ascii="宋体" w:eastAsia="宋体" w:hAnsi="宋体" w:cs="Times New Roman"/>
          <w:szCs w:val="21"/>
        </w:rPr>
        <w:instrText>chòu</w:instrText>
      </w:r>
      <w:r w:rsidRPr="006C0EB1">
        <w:rPr>
          <w:rFonts w:ascii="宋体" w:eastAsia="宋体" w:hAnsi="宋体" w:cs="Times New Roman"/>
          <w:szCs w:val="21"/>
        </w:rPr>
        <w:sym w:font="宋体" w:char="F029"/>
      </w:r>
      <w:r w:rsidRPr="006C0EB1">
        <w:rPr>
          <w:rFonts w:ascii="宋体" w:eastAsia="宋体" w:hAnsi="宋体" w:cs="Times New Roman"/>
          <w:szCs w:val="21"/>
        </w:rPr>
        <w:instrText>臭名昭著,</w:instrText>
      </w:r>
      <w:r w:rsidRPr="006C0EB1">
        <w:rPr>
          <w:rFonts w:ascii="宋体" w:eastAsia="宋体" w:hAnsi="宋体" w:cs="Times New Roman"/>
          <w:szCs w:val="21"/>
        </w:rPr>
        <w:sym w:font="宋体" w:char="F028"/>
      </w:r>
      <w:r w:rsidRPr="006C0EB1">
        <w:rPr>
          <w:rFonts w:ascii="宋体" w:eastAsia="宋体" w:hAnsi="宋体" w:cs="Times New Roman"/>
          <w:szCs w:val="21"/>
        </w:rPr>
        <w:instrText>xiù</w:instrText>
      </w:r>
      <w:r w:rsidRPr="006C0EB1">
        <w:rPr>
          <w:rFonts w:ascii="宋体" w:eastAsia="宋体" w:hAnsi="宋体" w:cs="Times New Roman"/>
          <w:szCs w:val="21"/>
        </w:rPr>
        <w:sym w:font="宋体" w:char="F029"/>
      </w:r>
      <w:r w:rsidRPr="006C0EB1">
        <w:rPr>
          <w:rFonts w:ascii="宋体" w:eastAsia="宋体" w:hAnsi="宋体" w:cs="Times New Roman"/>
          <w:szCs w:val="21"/>
        </w:rPr>
        <w:instrText>无色无臭))</w:instrText>
      </w:r>
      <w:r w:rsidRPr="006C0EB1">
        <w:rPr>
          <w:rFonts w:ascii="宋体" w:eastAsia="宋体" w:hAnsi="宋体" w:cs="宋体-方正超大字符集"/>
          <w:szCs w:val="21"/>
        </w:rPr>
        <w:fldChar w:fldCharType="end"/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(2)词语释义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附丽：附着，依附。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铢两悉称：形容两方面轻重相当或优劣相等。铢两，比喻微小之处。悉，都。称，相当。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尽致：详尽细致，达到极点。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惟妙惟肖：形容描写或模仿得非常好，非常逼真。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信手拈来：随手拿来。多形容写文章时词汇或材料丰富，不费思索就能写出来。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(3)词语辨析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“瞬息万变”和“变幻莫测”两个词都有变化较快、较多的意思。“瞬息万变”指在极短的时间内就有很多变化，形容变化很多很快。“变幻莫测”</w:t>
      </w:r>
      <w:proofErr w:type="gramStart"/>
      <w:r w:rsidRPr="006C0EB1">
        <w:rPr>
          <w:rFonts w:ascii="宋体" w:eastAsia="宋体" w:hAnsi="宋体" w:cs="Times New Roman"/>
          <w:szCs w:val="21"/>
        </w:rPr>
        <w:t>指事物变多端</w:t>
      </w:r>
      <w:proofErr w:type="gramEnd"/>
      <w:r w:rsidRPr="006C0EB1">
        <w:rPr>
          <w:rFonts w:ascii="宋体" w:eastAsia="宋体" w:hAnsi="宋体" w:cs="Times New Roman"/>
          <w:szCs w:val="21"/>
        </w:rPr>
        <w:t>，难以揣测，没有规律可循。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三、合作探究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(</w:t>
      </w:r>
      <w:proofErr w:type="gramStart"/>
      <w:r w:rsidRPr="006C0EB1">
        <w:rPr>
          <w:rFonts w:ascii="宋体" w:eastAsia="宋体" w:hAnsi="宋体" w:cs="Times New Roman"/>
          <w:b/>
          <w:szCs w:val="21"/>
        </w:rPr>
        <w:t>一</w:t>
      </w:r>
      <w:proofErr w:type="gramEnd"/>
      <w:r w:rsidRPr="006C0EB1">
        <w:rPr>
          <w:rFonts w:ascii="宋体" w:eastAsia="宋体" w:hAnsi="宋体" w:cs="Times New Roman"/>
          <w:b/>
          <w:szCs w:val="21"/>
        </w:rPr>
        <w:t>)整体感知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1．通读课文，划分层次，写出大意。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【合作探究】第一部分(1～3)：用孔子“无言”的事例引出对“言”与“意”的特点及其关系的分析理解。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第二部分(4～13)：先反驳“和自然逼真”的观点，然后分别列举绘画、文学、音乐和雕塑的实例，证明“言不必完全达意”和“无言之美”。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2．本文的中心论点是什么？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【合作探究】说出来的越少，留着不说的越多，所引起的美感就越大越真切。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(二)解读课文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1．作者是如何引出“无言”这一话题的？作者认为“无言”的意蕴，应该从哪方面着手研究？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【合作探究】作者首先从孔子与子贡的对话引出“无言”的话题；作者认为要探究“无言”的意蕴，应该从美术的观点去研究。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2．用一句话概括言和意之间的关系。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【合作探究】言不尽意。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3．作者对文学的是怎样定义的？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【合作探究】所谓文学，就是以言达意的一种美术。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4．作者是从哪几个方面证明“无言”也能产生美？作者在此主要运用了什么论证方法？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【合作探究】作者一共从四种艺术入手，运用了举例论证，论证了“无言”也能产生美。(1)以“言尽一切”的相片与“言及部分”的图画相比，图画之</w:t>
      </w:r>
      <w:proofErr w:type="gramStart"/>
      <w:r w:rsidRPr="006C0EB1">
        <w:rPr>
          <w:rFonts w:ascii="宋体" w:eastAsia="宋体" w:hAnsi="宋体" w:cs="Times New Roman"/>
          <w:szCs w:val="21"/>
        </w:rPr>
        <w:t>美证明</w:t>
      </w:r>
      <w:proofErr w:type="gramEnd"/>
      <w:r w:rsidRPr="006C0EB1">
        <w:rPr>
          <w:rFonts w:ascii="宋体" w:eastAsia="宋体" w:hAnsi="宋体" w:cs="Times New Roman"/>
          <w:szCs w:val="21"/>
        </w:rPr>
        <w:t>了无言之美；(2)以文学作品的含蓄之美凸显无言之美；(3)从音乐中的“无声胜有声”论证无言之美；(4)从雕刻艺术的含蓄不流露来论述无言之美。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(三)赏析语言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lastRenderedPageBreak/>
        <w:t>1．概括说明第3自然段中作者认为“意决不是完全可以言达”的理由。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【合作探究】(1)“言”是“达意”的手段，它固定、有迹象、散碎、有限。(2)“意”是“言达”的目的，它多变、无踪、混整、无限。(3)“言”不可能完全“达意”，只能述其大概。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2．怎样理解第3自然段中“以言达意，好像用断续的虚线画事物，只能得其近似”这句话的含义？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【合作探究】这句话使用了比喻的修辞手法，把“以言达意”比作“用断续的虚线画实物”，说明了“言是不能完全达意”的。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3．第4自然段文字论述了什么内容？有什么作用？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【合作探究】这段文字论述了文学作品是“以言达意”的一种美术，只有“以言达意”才会引起美感。这一段为下面阐述文学尽善尽美的条件，以及表明作者的观点做了铺垫。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4．试分析第8自然段的论证思路。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【合作探究】作者先对比相片和图画哪一个更“和自然逼真”；然后又进一步提问：两者“所引起的美感哪一个浓厚”，自然得出图画具有美感，直接反驳了“和自然逼真”的观点。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5．请结合全文，阐释“无言之美”的内涵。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(1)“大音希声，大象无形”，“无言”中包含着无限深远的情绪意旨。(2)“无言”是一种含蓄艺术，简单的表述常常比冗长的演绎更值得玩味。(3)“无言”留下了广阔的艺术空间，让欣赏者获得美的体验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(四)归纳主旨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归纳课文的中心主旨。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本文先用孔子“无言”的事例引出对“言”与“意”的特点及其关系的分析理解；然后分别列举绘画、文学、音乐和雕塑的实例，证明“言不必完全达意”和“无言之美”；最后得出结论：说出来的越少，留着不说的越多，所引起的美感就越大越深越真切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(五)探究写法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1．综合运用了多种论证方法。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【合作探究】举例论证。为证明“言不必完全达意”“无言之美”，作者分别列举了绘画、文学、音乐、雕塑等具体的实例，然后从中进行分析，有力地证明了自己的观点。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道理论证。文章开篇就引述孔子与子贡的对话，目的是引出对“无言”的论述。第9自然段在列举不同文学作品的例子时，分别引述了《论语》《时运》《读〈山海经〉》等文学作品中的语句加以论述。在第10自然段中又列举了《琵琶行》和《希腊花瓶歌》的诗句和原文，进行有力证明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对比论证。第3自然段把“言”和“意”进行比较，第8自然段把相片和图画进行比较，第10自然段将流露和含蓄进行比较，这些都是为证明“无言之美”服务的。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2．思路清晰，论证有力。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文章先用孔子“无言”的事例引出对“言”与“意”的特点及其关系的分析理解。然后提出文学尽善尽美的条件——“和自然逼真”，再对比相片和图画，予以反驳。紧接着分别列举文学、音乐和雕塑的实例，证明“言不必完全达意”和“无言之美”。最后一段作结，得出结论。层层推进，论述</w:t>
      </w:r>
      <w:r w:rsidRPr="006C0EB1">
        <w:rPr>
          <w:rFonts w:ascii="宋体" w:eastAsia="宋体" w:hAnsi="宋体" w:cs="Times New Roman"/>
          <w:szCs w:val="21"/>
        </w:rPr>
        <w:lastRenderedPageBreak/>
        <w:t>有力。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(六)拓展延伸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回顾课文内容，说一个你品味到“言不必完全达意”“无言之美”的例子。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【合作探究】宋徽宗喜爱书画，常出题考画家。有一次考试，他出的题目是“深山藏古寺”。这个题目要画好并不容易。前来参考的学子，有的在山腰间画古庙，有的在丛林深处画古庙；有的画得完整，有的只画出庙的</w:t>
      </w:r>
      <w:proofErr w:type="gramStart"/>
      <w:r w:rsidRPr="006C0EB1">
        <w:rPr>
          <w:rFonts w:ascii="宋体" w:eastAsia="宋体" w:hAnsi="宋体" w:cs="Times New Roman"/>
          <w:szCs w:val="21"/>
        </w:rPr>
        <w:t>一角或庙的</w:t>
      </w:r>
      <w:proofErr w:type="gramEnd"/>
      <w:r w:rsidRPr="006C0EB1">
        <w:rPr>
          <w:rFonts w:ascii="宋体" w:eastAsia="宋体" w:hAnsi="宋体" w:cs="Times New Roman"/>
          <w:szCs w:val="21"/>
        </w:rPr>
        <w:t>一段残墙断壁……宋徽宗看了很多幅，都不满意。就在他感到失望的时候，有一幅画深深地吸引了他，他再仔细端详了一番，连连点头称赞，并将之点为“魁选之作”。(注：魁选，即第一名)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那位高明的画家，根本就没有画庙。画的是崇山峻岭之中，一股清泉飞流直下，跳珠溅玉。泉边有个老态龙钟的和尚，一瓢一瓢地舀了泉水倒进桶里。就这么一个挑水的和尚，就把“深山藏古寺”这个题目表现得含蓄深邃极了。和尚挑水，当然是用来烧茶煮饭，洗衣浆衫，这就叫人想到附近一定有庙；和尚年迈，还得自己来挑水，可以想象到那庙是座破败的古庙了。</w:t>
      </w:r>
      <w:proofErr w:type="gramStart"/>
      <w:r w:rsidRPr="006C0EB1">
        <w:rPr>
          <w:rFonts w:ascii="宋体" w:eastAsia="宋体" w:hAnsi="宋体" w:cs="Times New Roman"/>
          <w:szCs w:val="21"/>
        </w:rPr>
        <w:t>庙一定</w:t>
      </w:r>
      <w:proofErr w:type="gramEnd"/>
      <w:r w:rsidRPr="006C0EB1">
        <w:rPr>
          <w:rFonts w:ascii="宋体" w:eastAsia="宋体" w:hAnsi="宋体" w:cs="Times New Roman"/>
          <w:szCs w:val="21"/>
        </w:rPr>
        <w:t>是在深山中，画面上看不见，这就把“藏”字表现出来了。这幅画比起</w:t>
      </w:r>
      <w:proofErr w:type="gramStart"/>
      <w:r w:rsidRPr="006C0EB1">
        <w:rPr>
          <w:rFonts w:ascii="宋体" w:eastAsia="宋体" w:hAnsi="宋体" w:cs="Times New Roman"/>
          <w:szCs w:val="21"/>
        </w:rPr>
        <w:t>那些画庙的一角或庙的</w:t>
      </w:r>
      <w:proofErr w:type="gramEnd"/>
      <w:r w:rsidRPr="006C0EB1">
        <w:rPr>
          <w:rFonts w:ascii="宋体" w:eastAsia="宋体" w:hAnsi="宋体" w:cs="Times New Roman"/>
          <w:szCs w:val="21"/>
        </w:rPr>
        <w:t>一段墙垣的，更切合“深山藏古寺”的题意。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四、课堂小结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古典文学中深蕴的“无言之美”需要读者细细品味。正如作者探讨文学作品时的例子，诗歌本是极其简短的几句话，但是其中包含的意境却是极其广阔的，如果仅仅流于表面，不加深思，就可能与经典失之交臂。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五、布置作业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请完成本课对应训练。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b/>
          <w:szCs w:val="21"/>
        </w:rPr>
        <w:t>六、板书设计</w:t>
      </w:r>
    </w:p>
    <w:p w:rsidR="00EE4D16" w:rsidRPr="006C0EB1" w:rsidRDefault="003E57E0" w:rsidP="006C0EB1">
      <w:pPr>
        <w:tabs>
          <w:tab w:val="left" w:pos="4320"/>
        </w:tabs>
        <w:snapToGrid w:val="0"/>
        <w:spacing w:line="360" w:lineRule="auto"/>
        <w:ind w:firstLineChars="200" w:firstLine="420"/>
        <w:jc w:val="center"/>
        <w:rPr>
          <w:rFonts w:ascii="宋体" w:eastAsia="宋体" w:hAnsi="宋体" w:cs="Times New Roman"/>
          <w:szCs w:val="21"/>
        </w:rPr>
      </w:pPr>
      <w:r w:rsidRPr="006C0EB1">
        <w:rPr>
          <w:rFonts w:ascii="宋体" w:eastAsia="宋体" w:hAnsi="宋体" w:cs="Times New Roman"/>
          <w:szCs w:val="21"/>
        </w:rPr>
        <w:t>无言之美</w:t>
      </w:r>
      <w:r w:rsidRPr="006C0EB1">
        <w:rPr>
          <w:rFonts w:ascii="宋体" w:eastAsia="宋体" w:hAnsi="宋体" w:cs="宋体-方正超大字符集"/>
          <w:szCs w:val="21"/>
        </w:rPr>
        <w:fldChar w:fldCharType="begin"/>
      </w:r>
      <w:r w:rsidRPr="006C0EB1">
        <w:rPr>
          <w:rFonts w:ascii="宋体" w:eastAsia="宋体" w:hAnsi="宋体" w:cs="宋体-方正超大字符集" w:hint="eastAsia"/>
          <w:szCs w:val="21"/>
        </w:rPr>
        <w:instrText>eq \</w:instrText>
      </w:r>
      <w:r w:rsidRPr="006C0EB1">
        <w:rPr>
          <w:rFonts w:ascii="宋体" w:eastAsia="宋体" w:hAnsi="宋体" w:cs="Times New Roman"/>
          <w:szCs w:val="21"/>
        </w:rPr>
        <w:instrText>b\lc\{(\a\vs4\al\co1(引出话题：由孔子和子贡的对话引出“无言”这个话题,论证过程\b\lc\{\rc\ (\a\vs4\al\co1(反驳观点——“和自然逼真”,提出论点——“言不必完全达意”和“无言之美”</w:instrText>
      </w:r>
      <w:r w:rsidRPr="006C0EB1">
        <w:rPr>
          <w:rFonts w:ascii="宋体" w:eastAsia="宋体" w:hAnsi="宋体" w:cs="Times New Roman"/>
          <w:szCs w:val="21"/>
        </w:rPr>
        <w:sym w:font="宋体" w:char="F028"/>
      </w:r>
      <w:r w:rsidRPr="006C0EB1">
        <w:rPr>
          <w:rFonts w:ascii="宋体" w:eastAsia="宋体" w:hAnsi="宋体" w:cs="Times New Roman"/>
          <w:szCs w:val="21"/>
        </w:rPr>
        <w:instrText>举例论证</w:instrText>
      </w:r>
      <w:r w:rsidRPr="006C0EB1">
        <w:rPr>
          <w:rFonts w:ascii="宋体" w:eastAsia="宋体" w:hAnsi="宋体" w:cs="Times New Roman"/>
          <w:szCs w:val="21"/>
        </w:rPr>
        <w:sym w:font="宋体" w:char="F029"/>
      </w:r>
      <w:r w:rsidRPr="006C0EB1">
        <w:rPr>
          <w:rFonts w:ascii="宋体" w:eastAsia="宋体" w:hAnsi="宋体" w:cs="Times New Roman"/>
          <w:szCs w:val="21"/>
        </w:rPr>
        <w:instrText>)),得出结论：说出来的越少，留着不说的越多，所引起的美感就越大越深</w:instrText>
      </w:r>
      <w:r w:rsidRPr="006C0EB1">
        <w:rPr>
          <w:rFonts w:ascii="宋体" w:eastAsia="宋体" w:hAnsi="宋体" w:cs="Times New Roman" w:hint="eastAsia"/>
          <w:szCs w:val="21"/>
        </w:rPr>
        <w:instrText xml:space="preserve">,  </w:instrText>
      </w:r>
      <w:r w:rsidRPr="006C0EB1">
        <w:rPr>
          <w:rFonts w:ascii="宋体" w:eastAsia="宋体" w:hAnsi="宋体" w:cs="Times New Roman"/>
          <w:szCs w:val="21"/>
        </w:rPr>
        <w:instrText>越真切))</w:instrText>
      </w:r>
      <w:r w:rsidRPr="006C0EB1">
        <w:rPr>
          <w:rFonts w:ascii="宋体" w:eastAsia="宋体" w:hAnsi="宋体" w:cs="宋体-方正超大字符集"/>
          <w:szCs w:val="21"/>
        </w:rPr>
        <w:fldChar w:fldCharType="end"/>
      </w:r>
    </w:p>
    <w:p w:rsidR="00EE4D16" w:rsidRPr="006C0EB1" w:rsidRDefault="00EE4D16" w:rsidP="006C0EB1">
      <w:pPr>
        <w:spacing w:line="360" w:lineRule="auto"/>
        <w:rPr>
          <w:rFonts w:ascii="宋体" w:eastAsia="宋体" w:hAnsi="宋体" w:cs="Times New Roman"/>
          <w:szCs w:val="21"/>
        </w:rPr>
      </w:pPr>
    </w:p>
    <w:p w:rsidR="00C929B2" w:rsidRPr="006C0EB1" w:rsidRDefault="00C929B2" w:rsidP="006C0EB1"/>
    <w:sectPr w:rsidR="00C929B2" w:rsidRPr="006C0EB1" w:rsidSect="006C0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F2C" w:rsidRDefault="00744F2C">
      <w:r>
        <w:separator/>
      </w:r>
    </w:p>
  </w:endnote>
  <w:endnote w:type="continuationSeparator" w:id="0">
    <w:p w:rsidR="00744F2C" w:rsidRDefault="0074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宋体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D4" w:rsidRDefault="004F71D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BE6DCD">
    <w:pPr>
      <w:pStyle w:val="a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D4" w:rsidRDefault="004F71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F2C" w:rsidRDefault="00744F2C">
      <w:r>
        <w:separator/>
      </w:r>
    </w:p>
  </w:footnote>
  <w:footnote w:type="continuationSeparator" w:id="0">
    <w:p w:rsidR="00744F2C" w:rsidRDefault="00744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D4" w:rsidRDefault="004F71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1D4" w:rsidRDefault="004F71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0029B2"/>
    <w:rsid w:val="000058A1"/>
    <w:rsid w:val="0028540F"/>
    <w:rsid w:val="003010E6"/>
    <w:rsid w:val="00310FEC"/>
    <w:rsid w:val="003D7369"/>
    <w:rsid w:val="003E57E0"/>
    <w:rsid w:val="00414419"/>
    <w:rsid w:val="00463A97"/>
    <w:rsid w:val="004F71D4"/>
    <w:rsid w:val="005556C0"/>
    <w:rsid w:val="0056694C"/>
    <w:rsid w:val="005F6CAE"/>
    <w:rsid w:val="006A2E2D"/>
    <w:rsid w:val="006C0EB1"/>
    <w:rsid w:val="00744F2C"/>
    <w:rsid w:val="007B6ADB"/>
    <w:rsid w:val="007F1418"/>
    <w:rsid w:val="008509B3"/>
    <w:rsid w:val="009225BB"/>
    <w:rsid w:val="009C7C1E"/>
    <w:rsid w:val="00A15D48"/>
    <w:rsid w:val="00A46002"/>
    <w:rsid w:val="00A62704"/>
    <w:rsid w:val="00A80BA1"/>
    <w:rsid w:val="00AA287B"/>
    <w:rsid w:val="00B72679"/>
    <w:rsid w:val="00BE6DCD"/>
    <w:rsid w:val="00C929B2"/>
    <w:rsid w:val="00D1102F"/>
    <w:rsid w:val="00D958E9"/>
    <w:rsid w:val="00E44685"/>
    <w:rsid w:val="00E7370E"/>
    <w:rsid w:val="00EE4D16"/>
    <w:rsid w:val="00F3041B"/>
    <w:rsid w:val="00F45596"/>
    <w:rsid w:val="00F7417D"/>
    <w:rsid w:val="00FD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5399F-BC02-4838-9D2A-05FF49B9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C929B2"/>
    <w:pPr>
      <w:spacing w:before="340" w:after="330" w:line="578" w:lineRule="auto"/>
      <w:jc w:val="center"/>
      <w:outlineLvl w:val="0"/>
    </w:pPr>
    <w:rPr>
      <w:rFonts w:eastAsia="宋体"/>
      <w:b/>
      <w:bCs/>
      <w:kern w:val="44"/>
      <w:szCs w:val="44"/>
    </w:rPr>
  </w:style>
  <w:style w:type="paragraph" w:styleId="2">
    <w:name w:val="heading 2"/>
    <w:next w:val="a"/>
    <w:link w:val="2Char"/>
    <w:uiPriority w:val="9"/>
    <w:unhideWhenUsed/>
    <w:qFormat/>
    <w:rsid w:val="00C929B2"/>
    <w:pPr>
      <w:spacing w:before="260" w:after="260" w:line="415" w:lineRule="auto"/>
      <w:jc w:val="center"/>
      <w:outlineLvl w:val="1"/>
    </w:pPr>
    <w:rPr>
      <w:rFonts w:asciiTheme="majorHAnsi" w:eastAsia="宋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929B2"/>
    <w:rPr>
      <w:rFonts w:eastAsia="宋体"/>
      <w:b/>
      <w:bCs/>
      <w:kern w:val="44"/>
      <w:szCs w:val="44"/>
    </w:rPr>
  </w:style>
  <w:style w:type="character" w:customStyle="1" w:styleId="2Char">
    <w:name w:val="标题 2 Char"/>
    <w:basedOn w:val="a0"/>
    <w:link w:val="2"/>
    <w:uiPriority w:val="9"/>
    <w:rsid w:val="00C929B2"/>
    <w:rPr>
      <w:rFonts w:asciiTheme="majorHAnsi" w:eastAsia="宋体" w:hAnsiTheme="majorHAnsi" w:cstheme="majorBidi"/>
      <w:b/>
      <w:bCs/>
      <w:szCs w:val="32"/>
    </w:rPr>
  </w:style>
  <w:style w:type="paragraph" w:styleId="a5">
    <w:name w:val="Plain Text"/>
    <w:basedOn w:val="a"/>
    <w:link w:val="Char1"/>
    <w:rsid w:val="00C929B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929B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6C0EB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C0E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11</cp:revision>
  <dcterms:created xsi:type="dcterms:W3CDTF">2019-10-21T09:10:00Z</dcterms:created>
  <dcterms:modified xsi:type="dcterms:W3CDTF">2020-03-16T07:40:00Z</dcterms:modified>
</cp:coreProperties>
</file>