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10642600</wp:posOffset>
            </wp:positionV>
            <wp:extent cx="368300" cy="2921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6672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32"/>
          <w:szCs w:val="40"/>
        </w:rPr>
        <w:t>教 案</w:t>
      </w:r>
    </w:p>
    <w:tbl>
      <w:tblPr>
        <w:tblStyle w:val="TableNormal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196"/>
        <w:gridCol w:w="3608"/>
        <w:gridCol w:w="719"/>
        <w:gridCol w:w="1595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tcBorders>
              <w:bottom w:val="single" w:sz="4" w:space="0" w:color="auto"/>
            </w:tcBorders>
            <w:shd w:val="clear" w:color="auto" w:fill="CCCCCC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教学基本信息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</w:t>
            </w:r>
          </w:p>
        </w:tc>
        <w:tc>
          <w:tcPr>
            <w:tcW w:w="7118" w:type="dxa"/>
            <w:gridSpan w:val="4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口语交际·应对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/>
        </w:trPr>
        <w:tc>
          <w:tcPr>
            <w:tcW w:w="140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学段：</w:t>
            </w:r>
            <w:r>
              <w:t xml:space="preserve"> </w:t>
            </w:r>
            <w:r>
              <w:rPr>
                <w:rFonts w:hint="eastAsia"/>
              </w:rPr>
              <w:t>初中</w:t>
            </w:r>
          </w:p>
        </w:tc>
        <w:tc>
          <w:tcPr>
            <w:tcW w:w="7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15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textAlignment w:val="center"/>
            </w:pPr>
            <w:r>
              <w:rPr>
                <w:rFonts w:hint="eastAsia"/>
              </w:rPr>
              <w:t>八年级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4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教材</w:t>
            </w:r>
          </w:p>
        </w:tc>
        <w:tc>
          <w:tcPr>
            <w:tcW w:w="7118" w:type="dxa"/>
            <w:gridSpan w:val="4"/>
            <w:shd w:val="clear" w:color="auto" w:fill="auto"/>
          </w:tcPr>
          <w:p>
            <w:r>
              <w:rPr>
                <w:rFonts w:hint="eastAsia"/>
              </w:rPr>
              <w:t>书名：《语文》 出版社：人民教育出版社  出版日期： 20</w:t>
            </w:r>
            <w:r>
              <w:t>17</w:t>
            </w:r>
            <w:r>
              <w:rPr>
                <w:rFonts w:hint="eastAsia"/>
              </w:rPr>
              <w:t>年12月</w:t>
            </w:r>
          </w:p>
        </w:tc>
      </w:tr>
    </w:tbl>
    <w:p/>
    <w:tbl>
      <w:tblPr>
        <w:tblStyle w:val="TableNormal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827"/>
        <w:gridCol w:w="5303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  <w:tcBorders>
              <w:right w:val="single" w:sz="4" w:space="0" w:color="auto"/>
            </w:tcBorders>
            <w:shd w:val="clear" w:color="auto" w:fill="CCCCCC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2" w:type="dxa"/>
          </w:tcPr>
          <w:p>
            <w:pPr>
              <w:jc w:val="center"/>
            </w:pPr>
          </w:p>
        </w:tc>
        <w:tc>
          <w:tcPr>
            <w:tcW w:w="1827" w:type="dxa"/>
          </w:tcPr>
          <w:p>
            <w:pPr>
              <w:jc w:val="center"/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>
            <w:pPr>
              <w:jc w:val="center"/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/>
        </w:trPr>
        <w:tc>
          <w:tcPr>
            <w:tcW w:w="1392" w:type="dxa"/>
          </w:tcPr>
          <w:p>
            <w:pPr>
              <w:jc w:val="center"/>
            </w:pPr>
          </w:p>
        </w:tc>
        <w:tc>
          <w:tcPr>
            <w:tcW w:w="1827" w:type="dxa"/>
          </w:tcPr>
          <w:p>
            <w:pPr>
              <w:jc w:val="center"/>
            </w:pPr>
          </w:p>
        </w:tc>
        <w:tc>
          <w:tcPr>
            <w:tcW w:w="5303" w:type="dxa"/>
          </w:tcPr>
          <w:p>
            <w:pPr>
              <w:ind w:firstLine="1890" w:firstLineChars="900"/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/>
        </w:trPr>
        <w:tc>
          <w:tcPr>
            <w:tcW w:w="1392" w:type="dxa"/>
          </w:tcPr>
          <w:p>
            <w:pPr>
              <w:jc w:val="center"/>
            </w:pPr>
          </w:p>
        </w:tc>
        <w:tc>
          <w:tcPr>
            <w:tcW w:w="1827" w:type="dxa"/>
          </w:tcPr>
          <w:p>
            <w:pPr>
              <w:jc w:val="center"/>
            </w:pPr>
          </w:p>
        </w:tc>
        <w:tc>
          <w:tcPr>
            <w:tcW w:w="5303" w:type="dxa"/>
          </w:tcPr>
          <w:p>
            <w:pPr>
              <w:jc w:val="center"/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/>
        </w:trPr>
        <w:tc>
          <w:tcPr>
            <w:tcW w:w="1392" w:type="dxa"/>
          </w:tcPr>
          <w:p>
            <w:pPr>
              <w:jc w:val="center"/>
            </w:pPr>
          </w:p>
        </w:tc>
        <w:tc>
          <w:tcPr>
            <w:tcW w:w="1827" w:type="dxa"/>
          </w:tcPr>
          <w:p>
            <w:pPr>
              <w:jc w:val="center"/>
            </w:pPr>
          </w:p>
        </w:tc>
        <w:tc>
          <w:tcPr>
            <w:tcW w:w="5303" w:type="dxa"/>
          </w:tcPr>
          <w:p>
            <w:pPr>
              <w:jc w:val="center"/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/>
        </w:trPr>
        <w:tc>
          <w:tcPr>
            <w:tcW w:w="1392" w:type="dxa"/>
          </w:tcPr>
          <w:p>
            <w:pPr>
              <w:jc w:val="center"/>
            </w:pPr>
          </w:p>
        </w:tc>
        <w:tc>
          <w:tcPr>
            <w:tcW w:w="1827" w:type="dxa"/>
          </w:tcPr>
          <w:p>
            <w:pPr>
              <w:jc w:val="center"/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>
            <w:pPr>
              <w:jc w:val="center"/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/>
        </w:trPr>
        <w:tc>
          <w:tcPr>
            <w:tcW w:w="1392" w:type="dxa"/>
          </w:tcPr>
          <w:p>
            <w:pPr>
              <w:jc w:val="center"/>
            </w:pPr>
          </w:p>
        </w:tc>
        <w:tc>
          <w:tcPr>
            <w:tcW w:w="1827" w:type="dxa"/>
          </w:tcPr>
          <w:p/>
        </w:tc>
        <w:tc>
          <w:tcPr>
            <w:tcW w:w="5303" w:type="dxa"/>
            <w:tcBorders>
              <w:right w:val="single" w:sz="4" w:space="0" w:color="auto"/>
            </w:tcBorders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  <w:shd w:val="clear" w:color="auto" w:fill="D9D9D9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教学目标及教学重点、难点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  <w:tcBorders>
              <w:bottom w:val="single" w:sz="4" w:space="0" w:color="auto"/>
            </w:tcBorders>
          </w:tcPr>
          <w:p>
            <w:r>
              <w:rPr>
                <w:rFonts w:hint="eastAsia"/>
              </w:rPr>
              <w:t>教学目标：</w:t>
            </w:r>
          </w:p>
          <w:p>
            <w:r>
              <w:rPr>
                <w:rFonts w:hint="eastAsia"/>
              </w:rPr>
              <w:t>1.结合生活实践，了解语言得体的基本要求。</w:t>
            </w:r>
          </w:p>
          <w:p>
            <w:r>
              <w:rPr>
                <w:rFonts w:hint="eastAsia"/>
              </w:rPr>
              <w:t>2.分析古今中外巧妙应对的事例，认识应对的特点与常用策略。</w:t>
            </w:r>
          </w:p>
          <w:p>
            <w:r>
              <w:rPr>
                <w:rFonts w:hint="eastAsia"/>
              </w:rPr>
              <w:t>3.创设具体情境，引导学生开展应对实践。</w:t>
            </w:r>
          </w:p>
          <w:p>
            <w:r>
              <w:rPr>
                <w:rFonts w:hint="eastAsia"/>
              </w:rPr>
              <w:t>教学重点：</w:t>
            </w:r>
          </w:p>
          <w:p>
            <w:r>
              <w:rPr>
                <w:rFonts w:hint="eastAsia"/>
              </w:rPr>
              <w:t>1.通过事例学习，明确应对的基本策略。</w:t>
            </w:r>
          </w:p>
          <w:p>
            <w:r>
              <w:rPr>
                <w:rFonts w:hint="eastAsia"/>
              </w:rPr>
              <w:t>2.通过创设具体情境，掌握三种考查类型与基本应对策略。</w:t>
            </w:r>
          </w:p>
          <w:p>
            <w:r>
              <w:rPr>
                <w:rFonts w:hint="eastAsia"/>
              </w:rPr>
              <w:t>教学难点：具体实践与学习中，掌握应对的基本策略并合理运用。</w:t>
            </w:r>
          </w:p>
        </w:tc>
      </w:tr>
    </w:tbl>
    <w:p/>
    <w:tbl>
      <w:tblPr>
        <w:tblStyle w:val="TableNormal"/>
        <w:tblW w:w="862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5426"/>
        <w:gridCol w:w="1996"/>
      </w:tblGrid>
      <w:tr>
        <w:tblPrEx>
          <w:tblW w:w="862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/>
        </w:trPr>
        <w:tc>
          <w:tcPr>
            <w:tcW w:w="8626" w:type="dxa"/>
            <w:gridSpan w:val="3"/>
            <w:shd w:val="clear" w:color="auto" w:fill="D9D9D9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教学过程(表格描述)</w:t>
            </w:r>
          </w:p>
        </w:tc>
      </w:tr>
      <w:tr>
        <w:tblPrEx>
          <w:tblW w:w="862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/>
        </w:trPr>
        <w:tc>
          <w:tcPr>
            <w:tcW w:w="12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教学环节</w:t>
            </w:r>
          </w:p>
        </w:tc>
        <w:tc>
          <w:tcPr>
            <w:tcW w:w="54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主要教学活动</w:t>
            </w:r>
          </w:p>
        </w:tc>
        <w:tc>
          <w:tcPr>
            <w:tcW w:w="19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设置意图</w:t>
            </w:r>
          </w:p>
        </w:tc>
      </w:tr>
      <w:tr>
        <w:tblPrEx>
          <w:tblW w:w="862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/>
        </w:trPr>
        <w:tc>
          <w:tcPr>
            <w:tcW w:w="12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导入</w:t>
            </w:r>
          </w:p>
        </w:tc>
        <w:tc>
          <w:tcPr>
            <w:tcW w:w="542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《社戏》中双喜与六一公公的精彩对话</w:t>
            </w:r>
          </w:p>
        </w:tc>
        <w:tc>
          <w:tcPr>
            <w:tcW w:w="199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激活学生已有积累</w:t>
            </w:r>
          </w:p>
          <w:p>
            <w:pPr>
              <w:jc w:val="left"/>
            </w:pPr>
            <w:r>
              <w:rPr>
                <w:rFonts w:hint="eastAsia"/>
              </w:rPr>
              <w:t>激发学习兴趣</w:t>
            </w:r>
          </w:p>
        </w:tc>
      </w:tr>
      <w:tr>
        <w:tblPrEx>
          <w:tblW w:w="862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/>
        </w:trPr>
        <w:tc>
          <w:tcPr>
            <w:tcW w:w="12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了解得体</w:t>
            </w:r>
          </w:p>
        </w:tc>
        <w:tc>
          <w:tcPr>
            <w:tcW w:w="542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一、认识得体的含义</w:t>
            </w:r>
          </w:p>
          <w:p>
            <w:pPr>
              <w:jc w:val="left"/>
            </w:pPr>
            <w:r>
              <w:rPr>
                <w:rFonts w:hint="eastAsia"/>
              </w:rPr>
              <w:t>二、讲授语言得体的基本要求，主要有三方面：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（1）看准对象，讲究分寸；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（2）适应场合，巧妙用语；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（3）注意遣词，敬谦得当。</w:t>
            </w:r>
          </w:p>
          <w:p>
            <w:pPr>
              <w:jc w:val="left"/>
            </w:pPr>
            <w:r>
              <w:rPr>
                <w:rFonts w:hint="eastAsia"/>
              </w:rPr>
              <w:t>三、运用事例，展现语言得体的典范</w:t>
            </w:r>
          </w:p>
          <w:p>
            <w:pPr>
              <w:jc w:val="left"/>
            </w:pPr>
            <w:r>
              <w:rPr>
                <w:rFonts w:hint="eastAsia"/>
              </w:rPr>
              <w:t>这一部分结合当前疫情的实际情况，采取了上海华山医院张文宏医生劝说大家好好居家隔离的例子。</w:t>
            </w:r>
          </w:p>
        </w:tc>
        <w:tc>
          <w:tcPr>
            <w:tcW w:w="199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引导学生掌握语言得体的基本要求；明确语言得体在日常生活中的重要性；明确语言得体与应对的关系。</w:t>
            </w:r>
          </w:p>
        </w:tc>
      </w:tr>
      <w:tr>
        <w:tblPrEx>
          <w:tblW w:w="862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/>
        </w:trPr>
        <w:tc>
          <w:tcPr>
            <w:tcW w:w="12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应对的认识</w:t>
            </w:r>
          </w:p>
        </w:tc>
        <w:tc>
          <w:tcPr>
            <w:tcW w:w="542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一</w:t>
            </w:r>
            <w:r>
              <w:t>、</w:t>
            </w:r>
            <w:r>
              <w:rPr>
                <w:rFonts w:hint="eastAsia"/>
              </w:rPr>
              <w:t>介绍应对的内涵</w:t>
            </w:r>
          </w:p>
          <w:p>
            <w:pPr>
              <w:jc w:val="left"/>
            </w:pPr>
            <w:r>
              <w:rPr>
                <w:rFonts w:hint="eastAsia"/>
              </w:rPr>
              <w:t>二</w:t>
            </w:r>
            <w:r>
              <w:t>、</w:t>
            </w:r>
            <w:r>
              <w:rPr>
                <w:rFonts w:hint="eastAsia"/>
              </w:rPr>
              <w:t>列举语文课本、文学名著中的应对事例</w:t>
            </w:r>
          </w:p>
        </w:tc>
        <w:tc>
          <w:tcPr>
            <w:tcW w:w="19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多方面了解应对的相关知识；借助事例，引导学生深入了解应对的特点。</w:t>
            </w:r>
          </w:p>
        </w:tc>
      </w:tr>
      <w:tr>
        <w:tblPrEx>
          <w:tblW w:w="862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/>
        </w:trPr>
        <w:tc>
          <w:tcPr>
            <w:tcW w:w="12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应对的运用</w:t>
            </w:r>
          </w:p>
        </w:tc>
        <w:tc>
          <w:tcPr>
            <w:tcW w:w="542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一、讲授应对的基本原则，主要包括四方面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（1）为人有责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（2）善于倾听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（3）快速思维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（4）广泛阅读</w:t>
            </w:r>
          </w:p>
          <w:p>
            <w:pPr>
              <w:jc w:val="left"/>
            </w:pPr>
            <w:r>
              <w:rPr>
                <w:rFonts w:hint="eastAsia"/>
              </w:rPr>
              <w:t>二、评析古今中外巧妙应对的事例，了解其中的应对策略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着重介绍两个方面：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（1）准确判断对方态度。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（2）掌握一定的应对技巧：自嘲、归谬、巧换概念、针锋相对、转化话题。</w:t>
            </w:r>
          </w:p>
          <w:p>
            <w:pPr>
              <w:jc w:val="left"/>
            </w:pPr>
            <w:r>
              <w:rPr>
                <w:rFonts w:hint="eastAsia"/>
              </w:rPr>
              <w:t>三、创设具体情境，带领学生尝试开展应对的实践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从三个方面进行练习：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（1）写出人物当时可能说的话。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（2）品味应对语言中的关键词语。</w:t>
            </w: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（3）围绕话题谈自己的看法、进行评价或探究等。</w:t>
            </w:r>
          </w:p>
        </w:tc>
        <w:tc>
          <w:tcPr>
            <w:tcW w:w="199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将“如何应对”的知识与实践相结合；加深学生对应对策略的认识与理解；为学生在生活中运用应对知识打好基础。</w:t>
            </w:r>
          </w:p>
        </w:tc>
      </w:tr>
      <w:tr>
        <w:tblPrEx>
          <w:tblW w:w="862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/>
        </w:trPr>
        <w:tc>
          <w:tcPr>
            <w:tcW w:w="12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</w:t>
            </w:r>
            <w:r>
              <w:t>建议</w:t>
            </w:r>
          </w:p>
        </w:tc>
        <w:tc>
          <w:tcPr>
            <w:tcW w:w="5426" w:type="dxa"/>
            <w:vAlign w:val="center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Calibri" w:hAnsi="Calibri" w:cs="黑体" w:hint="eastAsia"/>
              </w:rPr>
              <w:t>建议尝试练习教材“口语实践”的第二题，或者自设情境，开展应对实践。</w:t>
            </w:r>
          </w:p>
        </w:tc>
        <w:tc>
          <w:tcPr>
            <w:tcW w:w="199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激活学生思维，调动学生积极性，</w:t>
            </w:r>
          </w:p>
          <w:p>
            <w:pPr>
              <w:jc w:val="left"/>
            </w:pPr>
            <w:r>
              <w:rPr>
                <w:rFonts w:hint="eastAsia"/>
              </w:rPr>
              <w:t>消化吸收课堂内容。</w:t>
            </w:r>
          </w:p>
        </w:tc>
      </w:tr>
      <w:tr>
        <w:tblPrEx>
          <w:tblW w:w="862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/>
        </w:trPr>
        <w:tc>
          <w:tcPr>
            <w:tcW w:w="120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课堂总结</w:t>
            </w:r>
          </w:p>
        </w:tc>
        <w:tc>
          <w:tcPr>
            <w:tcW w:w="542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得体的语言，灵活地应对，可以处理好人与人之间的关系，希望同学们学好语言，灵活应对，成为一个会说话，善应对，具有良好语文素养的人。</w:t>
            </w:r>
          </w:p>
        </w:tc>
        <w:tc>
          <w:tcPr>
            <w:tcW w:w="1996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加强</w:t>
            </w:r>
            <w:r>
              <w:t>学生</w:t>
            </w:r>
            <w:r>
              <w:rPr>
                <w:rFonts w:hint="eastAsia"/>
              </w:rPr>
              <w:t>对课堂</w:t>
            </w:r>
            <w:r>
              <w:t>内容</w:t>
            </w:r>
            <w:r>
              <w:rPr>
                <w:rFonts w:hint="eastAsia"/>
              </w:rPr>
              <w:t>的</w:t>
            </w:r>
            <w:r>
              <w:t>整体印象，</w:t>
            </w:r>
            <w:r>
              <w:rPr>
                <w:rFonts w:hint="eastAsia"/>
              </w:rPr>
              <w:t>鼓励学生学以致用。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44"/>
    <w:rsid w:val="00017AFB"/>
    <w:rsid w:val="00073FF7"/>
    <w:rsid w:val="00095BF0"/>
    <w:rsid w:val="000C0877"/>
    <w:rsid w:val="000E280F"/>
    <w:rsid w:val="001126B8"/>
    <w:rsid w:val="00151542"/>
    <w:rsid w:val="00211E7A"/>
    <w:rsid w:val="002C180B"/>
    <w:rsid w:val="002D54F5"/>
    <w:rsid w:val="003A1E3D"/>
    <w:rsid w:val="003E68F0"/>
    <w:rsid w:val="003F2091"/>
    <w:rsid w:val="00422F03"/>
    <w:rsid w:val="00493349"/>
    <w:rsid w:val="00537796"/>
    <w:rsid w:val="0055298B"/>
    <w:rsid w:val="0064610C"/>
    <w:rsid w:val="006729A8"/>
    <w:rsid w:val="00684F91"/>
    <w:rsid w:val="006B0446"/>
    <w:rsid w:val="006D5149"/>
    <w:rsid w:val="00712159"/>
    <w:rsid w:val="007D72A8"/>
    <w:rsid w:val="00852EBE"/>
    <w:rsid w:val="00886A26"/>
    <w:rsid w:val="00915886"/>
    <w:rsid w:val="009A5405"/>
    <w:rsid w:val="00A62E98"/>
    <w:rsid w:val="00A70F1A"/>
    <w:rsid w:val="00B73E14"/>
    <w:rsid w:val="00BB5CC5"/>
    <w:rsid w:val="00BB5EF7"/>
    <w:rsid w:val="00BC3441"/>
    <w:rsid w:val="00BE255B"/>
    <w:rsid w:val="00C4095A"/>
    <w:rsid w:val="00C440B0"/>
    <w:rsid w:val="00C72AC9"/>
    <w:rsid w:val="00CA5FA1"/>
    <w:rsid w:val="00CA6344"/>
    <w:rsid w:val="00CB1279"/>
    <w:rsid w:val="00CB60A4"/>
    <w:rsid w:val="00CC5299"/>
    <w:rsid w:val="00D00380"/>
    <w:rsid w:val="00D56F22"/>
    <w:rsid w:val="00DD5D22"/>
    <w:rsid w:val="00DE4F74"/>
    <w:rsid w:val="00EA3B78"/>
    <w:rsid w:val="00ED3C4F"/>
    <w:rsid w:val="00F1138A"/>
    <w:rsid w:val="00F1550B"/>
    <w:rsid w:val="00F202CA"/>
    <w:rsid w:val="00FB4D77"/>
    <w:rsid w:val="5D952B66"/>
    <w:rsid w:val="6DB63E97"/>
    <w:rsid w:val="7B3B1A4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/>
    <w:lsdException w:name="footer" w:semiHidden="0" w:uiPriority="0" w:unhideWhenUsed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semiHidden="0" w:uiPriority="0" w:unhideWhenUsed="0"/>
    <w:lsdException w:name="macro" w:uiPriority="0"/>
    <w:lsdException w:name="toa heading" w:uiPriority="0"/>
    <w:lsdException w:name="List" w:semiHidden="0" w:uiPriority="0" w:unhideWhenUsed="0"/>
    <w:lsdException w:name="List Bullet" w:semiHidden="0" w:uiPriority="0" w:unhideWhenUsed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qFormat/>
    <w:rPr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0BC4D1-D519-43C8-A277-B9126E5CB0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生物戴老师 15210575055</cp:lastModifiedBy>
  <cp:revision>14</cp:revision>
  <dcterms:created xsi:type="dcterms:W3CDTF">2020-04-17T10:30:00Z</dcterms:created>
  <dcterms:modified xsi:type="dcterms:W3CDTF">2020-05-18T06:48:10Z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