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B85" w:rsidRDefault="003964CA">
      <w:pPr>
        <w:spacing w:line="360" w:lineRule="auto"/>
        <w:jc w:val="center"/>
        <w:rPr>
          <w:rFonts w:ascii="新宋体" w:eastAsia="新宋体" w:hAnsi="新宋体" w:cs="新宋体"/>
          <w:b/>
          <w:bCs/>
          <w:sz w:val="32"/>
          <w:szCs w:val="32"/>
        </w:rPr>
      </w:pPr>
      <w:r>
        <w:rPr>
          <w:rFonts w:ascii="新宋体" w:eastAsia="新宋体" w:hAnsi="新宋体" w:cs="新宋体" w:hint="eastAsia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10744200</wp:posOffset>
            </wp:positionV>
            <wp:extent cx="254000" cy="3048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298288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新宋体" w:eastAsia="新宋体" w:hAnsi="新宋体" w:cs="新宋体" w:hint="eastAsia"/>
          <w:b/>
          <w:bCs/>
          <w:sz w:val="32"/>
          <w:szCs w:val="32"/>
        </w:rPr>
        <w:t>统编新版选择性必修下册《石钟山记》教学设计</w:t>
      </w:r>
    </w:p>
    <w:p w:rsidR="00AB3B85" w:rsidRDefault="003964CA">
      <w:pPr>
        <w:pStyle w:val="a5"/>
        <w:spacing w:before="0" w:beforeAutospacing="0" w:after="0" w:afterAutospacing="0" w:line="360" w:lineRule="auto"/>
        <w:jc w:val="center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E6271D" wp14:editId="467728ED">
                <wp:simplePos x="0" y="0"/>
                <wp:positionH relativeFrom="column">
                  <wp:posOffset>256540</wp:posOffset>
                </wp:positionH>
                <wp:positionV relativeFrom="paragraph">
                  <wp:posOffset>243840</wp:posOffset>
                </wp:positionV>
                <wp:extent cx="1008380" cy="529590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642110" y="993775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B85" w:rsidRDefault="003964CA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教学目标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6" o:spid="_x0000_s1025" type="#_x0000_t202" style="width:79.4pt;height:41.7pt;margin-top:19.2pt;margin-left:20.2pt;mso-height-relative:page;mso-width-relative:page;position:absolute;z-index:25166028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教学目标</w:t>
                      </w:r>
                    </w:p>
                  </w:txbxContent>
                </v:textbox>
              </v:shape>
            </w:pict>
          </mc:Fallback>
        </mc:AlternateConten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 wp14:anchorId="6469D813" wp14:editId="4B9331C9">
            <wp:extent cx="1331595" cy="287655"/>
            <wp:effectExtent l="0" t="0" r="1905" b="17145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0919985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6"/>
        <w:tblW w:w="8522" w:type="dxa"/>
        <w:tblBorders>
          <w:top w:val="single" w:sz="4" w:space="0" w:color="F9FBFA"/>
          <w:left w:val="single" w:sz="4" w:space="0" w:color="F9FBFA"/>
          <w:bottom w:val="single" w:sz="4" w:space="0" w:color="F9FBFA"/>
          <w:right w:val="single" w:sz="4" w:space="0" w:color="F9FBFA"/>
          <w:insideH w:val="single" w:sz="4" w:space="0" w:color="F9FBFA"/>
          <w:insideV w:val="single" w:sz="4" w:space="0" w:color="F9FBFA"/>
        </w:tblBorders>
        <w:shd w:val="clear" w:color="auto" w:fill="CFCDCD" w:themeFill="background2" w:themeFillShade="E5"/>
        <w:tblLayout w:type="fixed"/>
        <w:tblLook w:val="04A0" w:firstRow="1" w:lastRow="0" w:firstColumn="1" w:lastColumn="0" w:noHBand="0" w:noVBand="1"/>
      </w:tblPr>
      <w:tblGrid>
        <w:gridCol w:w="2412"/>
        <w:gridCol w:w="6110"/>
      </w:tblGrid>
      <w:tr w:rsidR="00AB3B85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语言建构与运用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掌握文中的重要文言实词和虚词及其特殊句式。</w:t>
            </w:r>
          </w:p>
        </w:tc>
      </w:tr>
      <w:tr w:rsidR="00AB3B85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思维发展与提升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</w:rPr>
              <w:t>了解和体会作者在文中提出的观点和主张；学习以事明理的写法。</w:t>
            </w:r>
          </w:p>
        </w:tc>
      </w:tr>
      <w:tr w:rsidR="00AB3B85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审美鉴赏与创造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鉴赏课文所阐发的人生哲理。</w:t>
            </w:r>
          </w:p>
        </w:tc>
      </w:tr>
      <w:tr w:rsidR="00AB3B85">
        <w:tc>
          <w:tcPr>
            <w:tcW w:w="2412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jc w:val="center"/>
              <w:rPr>
                <w:rFonts w:ascii="新宋体" w:eastAsia="新宋体" w:hAnsi="新宋体" w:cs="新宋体"/>
                <w:b/>
                <w:bCs/>
                <w:szCs w:val="21"/>
              </w:rPr>
            </w:pPr>
            <w:r>
              <w:rPr>
                <w:rFonts w:ascii="新宋体" w:eastAsia="新宋体" w:hAnsi="新宋体" w:cs="新宋体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250190</wp:posOffset>
                      </wp:positionV>
                      <wp:extent cx="1008380" cy="52959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08380" cy="5295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B3B85" w:rsidRDefault="003964CA">
                                  <w:pPr>
                                    <w:rPr>
                                      <w:rFonts w:ascii="黑体" w:eastAsia="黑体" w:hAnsi="黑体" w:cs="黑体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黑体" w:eastAsia="黑体" w:hAnsi="黑体" w:cs="黑体" w:hint="eastAsia"/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教学重点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      <w:pict>
                    <v:shape id="_x0000_s1026" o:spid="_x0000_s1026" type="#_x0000_t202" style="width:79.4pt;height:41.7pt;margin-top:19.7pt;margin-left:18.5pt;mso-height-relative:page;mso-width-relative:page;position:absolute;z-index:251662336" coordsize="21600,21600" filled="f" stroked="f"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  <w:lang w:eastAsia="zh-CN"/>
                              </w:rPr>
                              <w:t>教学重点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新宋体" w:eastAsia="新宋体" w:hAnsi="新宋体" w:cs="新宋体" w:hint="eastAsia"/>
                <w:b/>
                <w:bCs/>
                <w:szCs w:val="21"/>
              </w:rPr>
              <w:t>文化传承与理解</w:t>
            </w:r>
          </w:p>
        </w:tc>
        <w:tc>
          <w:tcPr>
            <w:tcW w:w="6110" w:type="dxa"/>
            <w:tcBorders>
              <w:tl2br w:val="nil"/>
              <w:tr2bl w:val="nil"/>
            </w:tcBorders>
            <w:shd w:val="clear" w:color="auto" w:fill="CFCDCD" w:themeFill="background2" w:themeFillShade="E5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学习作者不迷信前人，勇于探究的精神。</w:t>
            </w:r>
          </w:p>
        </w:tc>
      </w:tr>
    </w:tbl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3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610825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220345</wp:posOffset>
                </wp:positionH>
                <wp:positionV relativeFrom="paragraph">
                  <wp:posOffset>500380</wp:posOffset>
                </wp:positionV>
                <wp:extent cx="1008380" cy="370840"/>
                <wp:effectExtent l="0" t="0" r="0" b="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370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B85" w:rsidRDefault="003964CA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7" type="#_x0000_t202" style="width:79.4pt;height:29.2pt;margin-top:39.4pt;margin-left:17.35pt;mso-height-relative:page;mso-width-relative:page;position:absolute;z-index:251664384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教学难点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在理清文章结构、把握三个自然段之间逻辑关系的基础上，认识作者反对臆断、重视考察的精神。。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16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042460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</w:rPr>
        <w:t>学习作者反对臆断、重视考察的精神</w:t>
      </w: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276860</wp:posOffset>
                </wp:positionV>
                <wp:extent cx="1008380" cy="41592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415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B85" w:rsidRDefault="003964CA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教学方法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8" type="#_x0000_t202" style="width:79.4pt;height:32.75pt;margin-top:21.8pt;margin-left:16.8pt;mso-height-relative:page;mso-width-relative:page;position:absolute;z-index:251670528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教学方法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及其治学精神。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9789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朗读、分析、讨论</w:t>
      </w: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197485</wp:posOffset>
                </wp:positionH>
                <wp:positionV relativeFrom="paragraph">
                  <wp:posOffset>231775</wp:posOffset>
                </wp:positionV>
                <wp:extent cx="1008380" cy="52959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B85" w:rsidRDefault="003964CA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cs="黑体" w:hint="eastAsia"/>
                                <w:b/>
                                <w:bCs/>
                                <w:sz w:val="28"/>
                                <w:szCs w:val="28"/>
                              </w:rPr>
                              <w:t>教学过程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29" type="#_x0000_t202" style="width:79.4pt;height:41.7pt;margin-top:18.25pt;margin-left:15.55pt;mso-height-relative:page;mso-width-relative:page;position:absolute;z-index:251668480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  <w:t>教学过程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315595</wp:posOffset>
                </wp:positionH>
                <wp:positionV relativeFrom="paragraph">
                  <wp:posOffset>136525</wp:posOffset>
                </wp:positionV>
                <wp:extent cx="1008380" cy="529590"/>
                <wp:effectExtent l="0" t="0" r="0" b="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8380" cy="5295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B3B85" w:rsidRDefault="00AB3B85">
                            <w:pPr>
                              <w:rPr>
                                <w:rFonts w:ascii="黑体" w:eastAsia="黑体" w:hAnsi="黑体" w:cs="黑体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 id="_x0000_s1026" o:spid="_x0000_s1030" type="#_x0000_t202" style="width:79.4pt;height:41.7pt;margin-top:10.75pt;margin-left:24.85pt;mso-height-relative:page;mso-width-relative:page;position:absolute;z-index:251666432" coordsize="21600,21600" filled="f" stroked="f">
                <o:lock v:ext="edit" aspectratio="f"/>
                <v:textbox>
                  <w:txbxContent>
                    <w:p>
                      <w:pPr>
                        <w:rPr>
                          <w:rFonts w:ascii="黑体" w:eastAsia="黑体" w:hAnsi="黑体" w:cs="黑体" w:hint="eastAsia"/>
                          <w:b/>
                          <w:bCs/>
                          <w:sz w:val="28"/>
                          <w:szCs w:val="28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、合作探究。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 w:val="28"/>
          <w:szCs w:val="28"/>
        </w:rPr>
      </w:pPr>
      <w:r>
        <w:rPr>
          <w:rFonts w:ascii="新宋体" w:eastAsia="新宋体" w:hAnsi="新宋体" w:cs="新宋体" w:hint="eastAsia"/>
          <w:noProof/>
        </w:rPr>
        <w:drawing>
          <wp:inline distT="0" distB="0" distL="114300" distR="114300">
            <wp:extent cx="1331595" cy="287655"/>
            <wp:effectExtent l="0" t="0" r="1905" b="17145"/>
            <wp:docPr id="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9068544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rcRect t="6393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33159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3B85" w:rsidRDefault="003964CA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导入解题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1.导入课题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俗话说“眼见为实”，可美国伊利诺伊大学的韦斯克博士却用事实证明了“眼见”也出错。他进行过一项有趣的研究：他给参加减肥夏令营的青少年，每人发了一个杯子，用来倒橙汁喝。所发的杯子容量相等，却有高有矮，高的高度是矮的两倍。结果发现，青少年用矮杯子的人多出用高杯子的，可见对一件事情的认识是必须不仅要眼见还要亲自考察研究，才能得</w:t>
      </w:r>
      <w:r>
        <w:rPr>
          <w:rFonts w:ascii="新宋体" w:eastAsia="新宋体" w:hAnsi="新宋体" w:cs="新宋体" w:hint="eastAsia"/>
          <w:szCs w:val="21"/>
        </w:rPr>
        <w:lastRenderedPageBreak/>
        <w:t>出正确的结论，今天苏轼也为我们提供了这样一个范例。（板书课题）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2.作者简介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苏轼（1037～1101），字子瞻，号东坡居士，北宋眉山人，著名的文学家，唐宋散文八大家之一。他学识渊博，多才多艺，在书法、绘画、诗词、散文各方面都有很高造诣。他的书法与蔡襄、黄庭坚、米芾合称“宋四家”；善画竹木怪石，其画论，书论也有卓见，是北宋继欧阳修之后的文坛领袖，散文与欧阳修齐名；诗歌与黄庭坚齐名；他的词气势磅礴，风格豪放，一改词的婉约，与南宋辛弃疾并称“苏辛”，共为豪放派词人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3.写作背景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本文是元丰七年六月，苏轼由黄州团练副使调任汝州团练副使时写的，此时是其政治上失意之时，此前因写诗讽刺新法被捕入狱，由湖州刺史贬为黄州团练副使。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苏轼一生遭受政治磨难。入朝任职后，因不同意王安石推行新法，出任杭州通判，后改为知密州、徐州、湖州。宋神宗元丰二年（1079），御史李定等弹劾他作诗讽刺新法，以“谤讪朝廷”罪被捕下狱，这就是北宋有名的文字狱“乌台诗案”。幸而未死，出狱后，被贬为黄州团练副使。元丰三年（1080）到黄州。元丰七年（1084）被调赴汝州，这年六月，苏轼由黄州团练副使调任汝州团练副使时，顺便送他长子苏迈到饶州德兴县任县尉，途径湖口，游览了石钟山，写了这篇文章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4.石钟山简介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石钟山位于现在的江西省湖口县鄱阳湖东岸。这座山包括两部分，县城南的叫上钟山，面积约0.34平方公里，县城北的叫下钟山，面积约0.2平方公里。两山相距不到一公里，海拔都只有70米上下，相对高度50—55米，其势相向。《石钟山志》将两山合称为“双钟山”，又叫“双石”。在地质构造上，双钟山属石质小山。两山外貌上尖下圆，状如伏钟。两山相比，下钟山比较奇峭，又临大江，号称“江湖锁钥”，历来是兵家必争之地。石钟山处于长江与鄱阳湖交汇处，交通方便，而且波光山色，风景优美，历来成为旅游胜地，自古以来不少文人游客写过游记石钟山的诗文。</w:t>
      </w:r>
    </w:p>
    <w:p w:rsidR="00AB3B85" w:rsidRDefault="003964CA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整体感知</w:t>
      </w:r>
    </w:p>
    <w:p w:rsidR="00AB3B85" w:rsidRDefault="003964CA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播放多媒体朗读。</w:t>
      </w:r>
    </w:p>
    <w:p w:rsidR="00AB3B85" w:rsidRDefault="003964CA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读音提示。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蠡（lǐ）   郦（lì）  罄（qìng）  桴（fú）      铿（kēng） 硿（kōng）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莫夜（mù）  栖鹘（hú） 磔（zhé）    鹳鹤（guàn）   噌吰（cēnɡhónɡ）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</w:rPr>
        <w:t>穴罅（xià） 窾坎镗鞳（kuǎnkǎntāngtà） 汝识之乎（zhì） 无射（yì）</w:t>
      </w:r>
    </w:p>
    <w:p w:rsidR="00AB3B85" w:rsidRDefault="003964CA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指名朗读，三个同学，每个同学朗读一段。</w:t>
      </w:r>
    </w:p>
    <w:p w:rsidR="00AB3B85" w:rsidRDefault="003964CA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文章结构：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第一段：游因——质疑    郦说——人常疑之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                     李说——余尤疑之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第二段：游历——解疑    看法——因声命名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                     方法——实地考察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第三段：游感——结论   </w:t>
      </w:r>
      <w:r>
        <w:t>事不目见耳闻，而臆断其有无，可乎？</w:t>
      </w:r>
    </w:p>
    <w:p w:rsidR="00AB3B85" w:rsidRDefault="003964CA">
      <w:pPr>
        <w:numPr>
          <w:ilvl w:val="0"/>
          <w:numId w:val="2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齐读课文。</w:t>
      </w:r>
    </w:p>
    <w:p w:rsidR="00AB3B85" w:rsidRDefault="003964CA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合作探究</w:t>
      </w:r>
    </w:p>
    <w:p w:rsidR="00AB3B85" w:rsidRDefault="003964CA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小组合作探究：将学生分为四组，每组探究一段。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第一组：第一段。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第二组：第二段前半部分。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第三组：第二段后半部分。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第四组：第三段。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要求：在合作探究的基础上，小组上台展示。展示环节：小组齐读——1人或几人合作解释关键字词句——1人或几人合作翻译。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lastRenderedPageBreak/>
        <w:t>2.小组展示（预设）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第一段：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①重点词语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彭蠡之口有石钟山焉：焉，于是，在那里。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扣而聆之：扣，敲击；聆，聆听。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南音函胡：函胡，重浊而模糊。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桴止响腾：桴，鼓棰；响，声响；腾，传播。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余韵徐歇：徐，慢慢；歇，停止，消失。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石之铿然有声者，所在皆是也：之，的，定语后置的标志；所在，到处；是，这样。</w:t>
      </w:r>
    </w:p>
    <w:p w:rsidR="00AB3B85" w:rsidRDefault="003964CA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②译文：《水经》说：“鄱阳湖口有石钟山。”郦道元认为下面对着深潭，微风鼓动波浪，水和石互相碰撞，发出的声音好像大钟一般。这个说法，人们常常怀疑它。现在把钟磬放在水中，即使大风大浪也不能使它发出声响，何况是石头呢!到了唐代，李渤才去探寻它的遗迹，在深潭边找到两块山石，敲打它们，听它们的声音。南边那块的声音重浊而模糊，北边那块的声音清脆而响亮，鼓槌停止敲击，声音还在传扬，余音慢慢地消失。他自己认为找到石钟山命名的原因了。但是这个说法，我更加怀疑它。山石被敲打时铿锵作响，到处都这样，可是唯独这座山用钟来命名，为什么呢?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第二段：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①重点词语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舟行适临汝：舟，名词作状语，乘舟；适，往。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硿硿焉：焉，形容词词尾，……的样子。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余固笑不信：固，本来。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至莫夜：莫，通“暮”。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发于水上：于，从。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微波入焉：焉，于是，到里面。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舟回至两山间：回，掉转。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涵淡澎湃而为此也：为，形成；此，即前面的噌吰之声。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有大石当中流：当，挡；中流，水流的中间。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空中而多窍：空中，中间是空的；窍，窟窿。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如作乐焉：焉，语气助词，啊，呀。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古之人不余以欺也：宾语前置句，否定句中代词作宾语，宾语前置。</w:t>
      </w:r>
    </w:p>
    <w:p w:rsidR="00AB3B85" w:rsidRDefault="003964CA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②译文：元丰七年六月丁丑日，我从齐安坐船到临汝去，大儿子苏迈将要去就任饶州德兴县的县尉，我送他到湖口，因而能够观察这座称为“石钟”的山。庙里的和尚叫小孩拿着斧头，在乱石中间选一两处敲打它，发出硿硿的响声，我本来就觉得可笑，并不相信。到了晚上，月光明亮，我独自和苏迈坐着小船来到绝壁下面。巨大的山石在旁边耸立着，高达千尺，好像凶猛的野兽和奇异的鬼怪，阴森森地要向人扑过来；山上宿巢的老鹰听到人声，也受惊飞起来，在云霄中磔磔地鸣叫；又有像老人在山谷中边咳边笑的声音，有人说这是鹳鹤。我正心惊想要回去，忽然巨大的声音从水上发出，巨大的声响像钟鼓的声音连续不断。船夫非常害怕。我慢慢地观察，原来山脚下都是石头的洞穴和裂缝，不知它们的深浅，微微的水波涌进洞穴和裂缝，激荡撞击便产生这样的声音。船绕到（掉转）两山之间，将要进入港口，有块大石头挡在水流的中央，上面可坐百来个人，中间是空的，而且有许多窟窿，把风浪吞进去又吐出来，发出窾坎镗鞳的声音，同先前噌吰的声音相互应和，好像音乐演奏。我于是笑着对苏迈说：“你知道吗?（你知道那些典故吗？）那噌吰的响声，是周景王无射钟的声音；</w:t>
      </w:r>
      <w:r>
        <w:rPr>
          <w:rFonts w:ascii="仿宋" w:eastAsia="仿宋" w:hAnsi="仿宋" w:cs="仿宋" w:hint="eastAsia"/>
        </w:rPr>
        <w:lastRenderedPageBreak/>
        <w:t>窾坎镗鞳的响声，是魏庄子歌钟的声音。古时的人没有欺骗我啊!”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第三段：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①重点词语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殆与余同：殆，大概。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故莫能知：莫，副词，不。（一说不定代词，没有人。）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此世所以不传也：所以，……的原因。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而陋者乃以斧斤考击而求之：乃，竟，竟然；斤，斧子；考击，敲击。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自以为得其实：其实，石钟山命名的真相。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余是以记之：是以，以是，因此。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盖叹郦元之简：盖，发语词。</w:t>
      </w:r>
    </w:p>
    <w:p w:rsidR="00AB3B85" w:rsidRDefault="003964CA">
      <w:pPr>
        <w:spacing w:line="36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②译文：凡事不亲眼看到亲耳听到，却凭主观想像去推断它的有无，可以吗?郦道元见到和听到的，大概和我一样，但是说得不详细；士大夫终究不愿夜晚乘着小船停靠在悬崖绝壁下面，所以不能知道真相；而渔夫船工，虽然知道却又不能用文字表达。这就是石钟山得名的由来在世上没有流传下来的缘故啊。而浅陋的人，竟用斧头敲打山石的办法来寻求石钟山得名的原因，自以为得到了它的真相。我因此记下这件事，叹惜郦道元记叙的简略，讥笑李渤的浅陋。</w:t>
      </w:r>
    </w:p>
    <w:p w:rsidR="00AB3B85" w:rsidRDefault="003964CA">
      <w:pPr>
        <w:numPr>
          <w:ilvl w:val="0"/>
          <w:numId w:val="3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阅读检测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（1）一词多义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焉  指示代词，那里，这里。心不在焉。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疑问代词，哪里，怎么。且焉置土石？不入虎穴，焉得虎子。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兼词，于之，在那里。不知其浅深，微波入焉。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语气助词，啊，呀。于是余不叹焉。如乐作焉。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形容词或副词词尾，……的样子。硿硿焉。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自  自以为得之矣。代词，自己。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余自齐安舟行适临汝。介词，从。    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搏  水石相搏。撞击。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森然欲搏。抓、扑。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莫  至莫夜月明。通“暮”，晚上。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故莫能知。否定副词，不。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得  得双石于潭上。得到。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因得观所谓石钟者。得以，能够。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鼓  如钟鼓不绝。名词，鼓。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微风鼓浪。动词，吹，拍。    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是  是说也，人常疑之。这种。</w:t>
      </w:r>
    </w:p>
    <w:p w:rsidR="00AB3B85" w:rsidRDefault="003964CA">
      <w:pPr>
        <w:spacing w:line="360" w:lineRule="auto"/>
        <w:ind w:firstLineChars="200" w:firstLine="420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所在皆是也。这样。</w:t>
      </w:r>
    </w:p>
    <w:p w:rsidR="00AB3B85" w:rsidRDefault="003964CA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古今异义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空中而多窍。古：中间是空的。今：天空中。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自以为得其实。古：两个词连用。其，那，指示代词。实，事情真相，名词。今：一个词。义为“实际上”。</w:t>
      </w:r>
    </w:p>
    <w:p w:rsidR="00AB3B85" w:rsidRDefault="003964CA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古字通假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南声函胡，北音清越。“函胡”通“含糊”，重浊而模糊。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于乱石间择其一二扣之。“扣”通“叩”，敲击。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lastRenderedPageBreak/>
        <w:t>至莫夜月明。“莫”通“暮”，晚上。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汝识之乎？“识”通“志”,记住。</w:t>
      </w:r>
    </w:p>
    <w:p w:rsidR="00AB3B85" w:rsidRDefault="003964CA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词类活用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今以钟罄置水中，虽大风浪不能鸣也。鸣，使……发出声音，动词的使动用法。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事不目见耳闻，而臆断其有无，可乎？目，用眼（睛看）；耳，用耳（朵听）。均表示动作、行为的方式。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余自齐安舟行适临汝。舟，名词作状语，乘舟。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微风鼓浪。鼓，吹起，名词作动词。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而此独以钟名。名，命名，名词作动词。    </w:t>
      </w:r>
    </w:p>
    <w:p w:rsidR="00AB3B85" w:rsidRDefault="003964CA">
      <w:pPr>
        <w:numPr>
          <w:ilvl w:val="0"/>
          <w:numId w:val="4"/>
        </w:num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特殊句式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古之人不余欺也。“余欺”，“欺余”， 宾语前置，否定句中代词作宾语，宾语前置。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石之铿然有声者。定语后置句，之，定语后置的标志。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而大声发于水上。状语后置句，于水上发。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今以钟磬置水中。省略句，置（于）水中。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噌吰者，周景王之无射也。判断句。</w:t>
      </w:r>
    </w:p>
    <w:p w:rsidR="00AB3B85" w:rsidRDefault="003964CA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36"/>
        </w:rPr>
      </w:pPr>
      <w:r>
        <w:rPr>
          <w:rFonts w:ascii="新宋体" w:eastAsia="新宋体" w:hAnsi="新宋体" w:cs="新宋体" w:hint="eastAsia"/>
          <w:b/>
          <w:bCs/>
          <w:sz w:val="28"/>
          <w:szCs w:val="36"/>
        </w:rPr>
        <w:t>质疑探讨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1.郦道元、李渤对石钟山得名由来各有什么说法？作者为什么对二人的说法提出质疑？</w:t>
      </w:r>
    </w:p>
    <w:tbl>
      <w:tblPr>
        <w:tblW w:w="0" w:type="auto"/>
        <w:tblInd w:w="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2458"/>
        <w:gridCol w:w="1134"/>
        <w:gridCol w:w="2733"/>
      </w:tblGrid>
      <w:tr w:rsidR="00AB3B85">
        <w:trPr>
          <w:trHeight w:val="71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二人说法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得名由来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作者态度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作者依据</w:t>
            </w:r>
          </w:p>
        </w:tc>
      </w:tr>
      <w:tr w:rsidR="00AB3B85">
        <w:trPr>
          <w:cantSplit/>
          <w:trHeight w:val="327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郦说（水石相搏发声说）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下临深潭，微风鼓浪，水石相搏，声如洪钟。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人常疑之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今以钟磬置水中虽大风浪不能鸣也，而况石乎！</w:t>
            </w:r>
          </w:p>
        </w:tc>
      </w:tr>
      <w:tr w:rsidR="00AB3B85">
        <w:trPr>
          <w:cantSplit/>
          <w:trHeight w:val="932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lastRenderedPageBreak/>
              <w:t>李说（石头发音说）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得双石于潭上，扣而聆之，南声函胡，北音清越，桴止响腾，余韵徐歇。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余尤疑之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石之铿然有声者，所在皆是也，而此独以钟名，何哉？</w:t>
            </w:r>
          </w:p>
        </w:tc>
      </w:tr>
    </w:tbl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2.对两说的分别怀疑，提法上也有所不同，为什么？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①对郦说：客观记叙，没有轻率的判断其是非。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②对李说：强调对其说法的否定。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3.苏轼对两人的观点都持“疑”，那么，“中华千古奇音第一山”的石钟山到底是因为什么命名的呢？苏轼是用什么手段来解“疑”的呢？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实地考察。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4.苏轼的实地考察分几个阶段？ 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两个阶段：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白天：寺僧演示――“笑”（嘲讽）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暮夜：夜泊绝壁――“笑”（自得）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5.夜游石钟山，作者是怎样描写月夜绝壁下的情景的？第二段的描写与下一段的哪句话照应？有什么作用？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noProof/>
          <w:szCs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1294765</wp:posOffset>
                </wp:positionH>
                <wp:positionV relativeFrom="paragraph">
                  <wp:posOffset>118110</wp:posOffset>
                </wp:positionV>
                <wp:extent cx="103505" cy="650240"/>
                <wp:effectExtent l="0" t="4445" r="10795" b="12065"/>
                <wp:wrapNone/>
                <wp:docPr id="2" name="右大括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" cy="650240"/>
                        </a:xfrm>
                        <a:prstGeom prst="rightBrace">
                          <a:avLst>
                            <a:gd name="adj1" fmla="val 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026" o:spid="_x0000_s1031" type="#_x0000_t88" style="width:8.15pt;height:51.2pt;margin-top:9.3pt;margin-left:101.95pt;mso-height-relative:page;mso-width-relative:page;position:absolute;z-index:251672576" coordsize="21600,21600" adj="0,10800" filled="f" stroked="t" strokecolor="black">
                <v:stroke joinstyle="round"/>
                <o:lock v:ext="edit" aspectratio="f"/>
              </v:shape>
            </w:pict>
          </mc:Fallback>
        </mc:AlternateContent>
      </w:r>
      <w:r>
        <w:rPr>
          <w:rFonts w:ascii="新宋体" w:eastAsia="新宋体" w:hAnsi="新宋体" w:cs="新宋体" w:hint="eastAsia"/>
          <w:szCs w:val="21"/>
        </w:rPr>
        <w:t>① 大石――比喻绘形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栖鹘――直接绘声   阴森可怖－→烘托亲身探访的不易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 鹳鹤――比喻拟声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②“士大夫终不肯以小舟夜泊绝壁之下，故莫能知。”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6.经过实地考察，作者认为石钟山得名的由来是什么？</w:t>
      </w:r>
    </w:p>
    <w:tbl>
      <w:tblPr>
        <w:tblpPr w:leftFromText="180" w:rightFromText="180" w:topFromText="100" w:bottomFromText="100" w:vertAnchor="text" w:horzAnchor="page" w:tblpX="2015" w:tblpY="158"/>
        <w:tblOverlap w:val="never"/>
        <w:tblW w:w="5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1"/>
        <w:gridCol w:w="2193"/>
        <w:gridCol w:w="1983"/>
      </w:tblGrid>
      <w:tr w:rsidR="00AB3B85">
        <w:trPr>
          <w:trHeight w:val="147"/>
        </w:trPr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水石相搏说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声源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声音</w:t>
            </w:r>
          </w:p>
        </w:tc>
      </w:tr>
      <w:tr w:rsidR="00AB3B85">
        <w:trPr>
          <w:trHeight w:val="435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AB3B85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微波——山下石穴罅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噌吰如钟鼓不绝</w:t>
            </w:r>
          </w:p>
        </w:tc>
      </w:tr>
      <w:tr w:rsidR="00AB3B85">
        <w:trPr>
          <w:trHeight w:val="561"/>
        </w:trPr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AB3B85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风水——中流之大石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B85" w:rsidRDefault="003964CA">
            <w:pPr>
              <w:spacing w:line="360" w:lineRule="auto"/>
              <w:rPr>
                <w:rFonts w:ascii="新宋体" w:eastAsia="新宋体" w:hAnsi="新宋体" w:cs="新宋体"/>
                <w:szCs w:val="21"/>
              </w:rPr>
            </w:pPr>
            <w:r>
              <w:rPr>
                <w:rFonts w:ascii="新宋体" w:eastAsia="新宋体" w:hAnsi="新宋体" w:cs="新宋体" w:hint="eastAsia"/>
                <w:szCs w:val="21"/>
              </w:rPr>
              <w:t>有窽坎镗鞳之声</w:t>
            </w:r>
          </w:p>
        </w:tc>
      </w:tr>
    </w:tbl>
    <w:p w:rsidR="00AB3B85" w:rsidRDefault="00AB3B8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AB3B85" w:rsidRDefault="00AB3B8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AB3B85" w:rsidRDefault="00AB3B8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AB3B85" w:rsidRDefault="00AB3B85">
      <w:pPr>
        <w:spacing w:line="360" w:lineRule="auto"/>
        <w:rPr>
          <w:rFonts w:ascii="新宋体" w:eastAsia="新宋体" w:hAnsi="新宋体" w:cs="新宋体"/>
          <w:szCs w:val="21"/>
        </w:rPr>
      </w:pP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7.在探明石钟山得名的由来后，悟出什么道理？在作者看来，世人为什么不能准确知道石钟山得名的由来？作者对以上做法各持什么态度？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①“事不目见耳闻，而臆断其有无，可乎？”――点明主旨：认识事物贵在“目见耳闻”，切忌主观臆断。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②郦道元→不详（“叹”之“简”）</w:t>
      </w:r>
    </w:p>
    <w:p w:rsidR="00AB3B85" w:rsidRDefault="003964CA">
      <w:pPr>
        <w:spacing w:line="360" w:lineRule="auto"/>
        <w:ind w:firstLineChars="100" w:firstLine="210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士大夫―→不肯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渔工水师→不能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 xml:space="preserve">  陋者（李渤）―→考击以求得其实（“笑”之“陋”）</w:t>
      </w:r>
    </w:p>
    <w:p w:rsidR="00AB3B85" w:rsidRDefault="003964CA">
      <w:pPr>
        <w:numPr>
          <w:ilvl w:val="0"/>
          <w:numId w:val="5"/>
        </w:num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你觉得这篇文章在写法上有哪些突出的特点？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t>(1)因事说理,叙议结合。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t>《石钟山记》的结构不同于一般的游记散文那样先记游后议论,而是先议论,由议论带出记叙,最后又以议论作结。作者以“疑一察一结论”三个步骤展开全文。而且议论、记叙层层深入,全文首尾呼应,环环相扣,浑然一体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t>(2)笔墨集中,结构紧凑。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t>本文写得很集中。从头至尾,紧扣石钟山的命名来写。第一段提出问题,第二段解决问题,第三段得出结论。文中写寺僧使小童扣石出声,是为了核实李渤扣石发声之说,是为了探求石钟山命名的由来,而与石钟山命名关系不大的则一笔带过或略而不写。如作者与寺僧的语言对答,如乘舟夜游,“舟人大恐”时的对话,这些作者均未写出。又如,只有他“笑谓迈日”,而无苏迈的回答,这也是回避不写的。作者集中写石钟山的命名问题,使得文章结构显得很紧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lastRenderedPageBreak/>
        <w:t>(3)行文波澜起伏,有缓有急。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lang w:val="zh-CN"/>
        </w:rPr>
        <w:t>行文有缓有急,抑扬顿挫,波澜起伏,诙谐风趣。如夜游石钟山一段,写得极为精彩,作者先交代游览的时间、地点、同伴、方式,语气比较舒缓；接下来是环境描写,大石“森然欲搏人”，栖鹘惊飞,鹳鹤怪叫,写得阴森可怕,寒气逼人,读者读到这里真有点毛骨悚然,心惊肉跳；然后以“余方心动欲还”,暂缓紧张气氛,忽又有“大声发于水上,噌咳如钟鼓不绝”,不仅“舟人大恐”,读者也不免为之“大恐”,不知发生了什么事情；最后经过“徐而察之”,发现原来是“水石相搏”的声音,读者紧张的心情才渐趋平缓。</w:t>
      </w:r>
    </w:p>
    <w:p w:rsidR="00AB3B85" w:rsidRDefault="003964CA">
      <w:pPr>
        <w:numPr>
          <w:ilvl w:val="0"/>
          <w:numId w:val="1"/>
        </w:numPr>
        <w:spacing w:line="360" w:lineRule="auto"/>
        <w:rPr>
          <w:rFonts w:ascii="新宋体" w:eastAsia="新宋体" w:hAnsi="新宋体" w:cs="新宋体"/>
          <w:b/>
          <w:bCs/>
          <w:sz w:val="28"/>
          <w:szCs w:val="28"/>
        </w:rPr>
      </w:pPr>
      <w:r>
        <w:rPr>
          <w:rFonts w:ascii="新宋体" w:eastAsia="新宋体" w:hAnsi="新宋体" w:cs="新宋体" w:hint="eastAsia"/>
          <w:b/>
          <w:bCs/>
          <w:sz w:val="28"/>
          <w:szCs w:val="28"/>
        </w:rPr>
        <w:t>思辨拓展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1.文章作者写了三次“笑”，他在笑什么？试做简要分析。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①“余固笑而不信也”，这是因李渤的“击石得声”之说本不可信，而一般人却盲目相信，因此觉得可笑。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②“因笑谓迈曰……”这是经过惊心动魄的夜探而弄清石钟山命名由来之后的自得的笑。</w:t>
      </w:r>
    </w:p>
    <w:p w:rsidR="00AB3B85" w:rsidRDefault="003964CA">
      <w:pPr>
        <w:spacing w:line="360" w:lineRule="auto"/>
        <w:rPr>
          <w:rFonts w:ascii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③“</w:t>
      </w:r>
      <w:r>
        <w:t>叹郦元之简，而笑李渤之陋也</w:t>
      </w:r>
      <w:r>
        <w:rPr>
          <w:rFonts w:hint="eastAsia"/>
        </w:rPr>
        <w:t>”，对李渤浅陋的说法和做法的嘲笑。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2.李渤真的可笑吗？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不应该，因为他能对郦说指出质疑，并且考证他，得出新的结论，所以苏轼嘲笑他不对。如果这样，后人同样也可嘲笑苏轼，因为他的观点也未必是正确的的。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szCs w:val="21"/>
        </w:rPr>
      </w:pPr>
      <w:r>
        <w:rPr>
          <w:rFonts w:ascii="新宋体" w:eastAsia="新宋体" w:hAnsi="新宋体" w:cs="新宋体" w:hint="eastAsia"/>
          <w:szCs w:val="21"/>
        </w:rPr>
        <w:t>后人考证石钟山的命名原因的三种观点：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一是主声派，认为此处水石相击，声似洪钟。《水经注》作者郦道元认为：山名由来是因为“下临深潭，微风鼓浪，水石相搏，声如洪钟”。唐人李渤在《辨石钟山》中认为：石钟山的石头可以发出类似铜铁的声音，因此山乃以声得名。宋人苏轼经过实地考察，“叹郦元之简，笑李渤之陋”。他认为：声似钟声的不是简单的水石相搏，更不是潭上的扣石之声，而是山下石穴罅中微波出入发出的“涵澹澎湃”之声以及“空中而多窍”的水中巨石与风水吞吐发出的声音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二是主形派，认为山形似钟，故以形命山名。这派的代表是清人曾国藩与俞樾，其观点是：</w:t>
      </w:r>
      <w:r>
        <w:rPr>
          <w:rFonts w:ascii="新宋体" w:eastAsia="新宋体" w:hAnsi="新宋体" w:cs="新宋体" w:hint="eastAsia"/>
        </w:rPr>
        <w:lastRenderedPageBreak/>
        <w:t>全山皆空，如钟覆地，故得钟名。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</w:rPr>
        <w:t>第三派是主张形声结合的，清人郭庆蕃即持此说，其《舟中望石钟山》诗云：“洪钟旧待洪钟铸，不及兹山造化功；风入水中波激荡，声穿江上石玲珑。”指出山形如洪钟，波涛与玲珑的山石激荡又发出类似钟磬之声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</w:rPr>
        <w:t>3.</w:t>
      </w:r>
      <w:r>
        <w:rPr>
          <w:rFonts w:ascii="新宋体" w:eastAsia="新宋体" w:hAnsi="新宋体" w:cs="新宋体" w:hint="eastAsia"/>
          <w:lang w:val="zh-CN"/>
        </w:rPr>
        <w:t>苏轼写《石钟山记》的意图是“吸郦元之简,而笑李渤之陋”。这说明“事不目见耳闻”，不能“臆断其有无”。但后人考证认为,苏轼的说法也不正确。那么,学习这篇文章的意义是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t>什么呢?</w:t>
      </w:r>
    </w:p>
    <w:p w:rsidR="00AB3B85" w:rsidRDefault="003964CA">
      <w:pPr>
        <w:spacing w:line="360" w:lineRule="auto"/>
        <w:rPr>
          <w:rFonts w:ascii="新宋体" w:eastAsia="新宋体" w:hAnsi="新宋体" w:cs="新宋体"/>
          <w:lang w:val="zh-CN"/>
        </w:rPr>
      </w:pPr>
      <w:r>
        <w:rPr>
          <w:rFonts w:ascii="新宋体" w:eastAsia="新宋体" w:hAnsi="新宋体" w:cs="新宋体" w:hint="eastAsia"/>
          <w:lang w:val="zh-CN"/>
        </w:rPr>
        <w:t>观点一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lang w:val="zh-CN"/>
        </w:rPr>
        <w:t>不轻信前人的说法。苏轼的说法也许不完全正确,但并不能因此否定苏轼的努力。人们对于客观事物的认识,本来就有一个过程,而且后人对苏轼说法的怀疑、察疑、释疑,正是和苏轼的不迷信古人,不轻信旧说,不主观臆断,而自愿亲身实地观察的精神一致。</w:t>
      </w:r>
    </w:p>
    <w:p w:rsidR="00AB3B85" w:rsidRDefault="003964CA">
      <w:pPr>
        <w:spacing w:line="360" w:lineRule="auto"/>
        <w:rPr>
          <w:rFonts w:ascii="新宋体" w:eastAsia="新宋体" w:hAnsi="新宋体" w:cs="新宋体"/>
        </w:rPr>
      </w:pPr>
      <w:r>
        <w:rPr>
          <w:rFonts w:ascii="新宋体" w:eastAsia="新宋体" w:hAnsi="新宋体" w:cs="新宋体" w:hint="eastAsia"/>
          <w:lang w:val="zh-CN"/>
        </w:rPr>
        <w:t>观点二</w:t>
      </w:r>
      <w:r>
        <w:rPr>
          <w:rFonts w:ascii="新宋体" w:eastAsia="新宋体" w:hAnsi="新宋体" w:cs="新宋体" w:hint="eastAsia"/>
        </w:rPr>
        <w:t xml:space="preserve">  </w:t>
      </w:r>
      <w:r>
        <w:rPr>
          <w:rFonts w:ascii="新宋体" w:eastAsia="新宋体" w:hAnsi="新宋体" w:cs="新宋体" w:hint="eastAsia"/>
          <w:lang w:val="zh-CN"/>
        </w:rPr>
        <w:t>实践出真知。作者在文中强调耳闻目见进行实地考察的重要性,反对主观臆断,草率盲从,这是科学的、重调查研究的态度。我们强调实践出真知,就应该像苏轼一样勇于实践。</w:t>
      </w:r>
      <w:bookmarkStart w:id="0" w:name="_GoBack"/>
      <w:bookmarkEnd w:id="0"/>
    </w:p>
    <w:sectPr w:rsidR="00AB3B85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A8B" w:rsidRDefault="00E86A8B">
      <w:pPr>
        <w:spacing w:after="0" w:line="240" w:lineRule="auto"/>
      </w:pPr>
      <w:r>
        <w:separator/>
      </w:r>
    </w:p>
  </w:endnote>
  <w:endnote w:type="continuationSeparator" w:id="0">
    <w:p w:rsidR="00E86A8B" w:rsidRDefault="00E86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3B85" w:rsidRDefault="003964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AB3B85" w:rsidRDefault="003964C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A14B9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32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AB3B85" w:rsidRDefault="003964CA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A14B9">
                      <w:rPr>
                        <w:noProof/>
                      </w:rPr>
                      <w:t>12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A8B" w:rsidRDefault="00E86A8B">
      <w:pPr>
        <w:spacing w:after="0" w:line="240" w:lineRule="auto"/>
      </w:pPr>
      <w:r>
        <w:separator/>
      </w:r>
    </w:p>
  </w:footnote>
  <w:footnote w:type="continuationSeparator" w:id="0">
    <w:p w:rsidR="00E86A8B" w:rsidRDefault="00E86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897035"/>
    <w:multiLevelType w:val="singleLevel"/>
    <w:tmpl w:val="8189703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F7C1C61"/>
    <w:multiLevelType w:val="singleLevel"/>
    <w:tmpl w:val="DF7C1C61"/>
    <w:lvl w:ilvl="0">
      <w:start w:val="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8891440"/>
    <w:multiLevelType w:val="singleLevel"/>
    <w:tmpl w:val="4889144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7AEFE67"/>
    <w:multiLevelType w:val="singleLevel"/>
    <w:tmpl w:val="57AEFE67"/>
    <w:lvl w:ilvl="0">
      <w:start w:val="2"/>
      <w:numFmt w:val="decimal"/>
      <w:suff w:val="nothing"/>
      <w:lvlText w:val="（%1）"/>
      <w:lvlJc w:val="left"/>
    </w:lvl>
  </w:abstractNum>
  <w:abstractNum w:abstractNumId="4">
    <w:nsid w:val="5831BB69"/>
    <w:multiLevelType w:val="singleLevel"/>
    <w:tmpl w:val="5831BB6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3964CA"/>
    <w:rsid w:val="003A5F91"/>
    <w:rsid w:val="004A14B9"/>
    <w:rsid w:val="00AB3B85"/>
    <w:rsid w:val="00E86A8B"/>
    <w:rsid w:val="01E925E0"/>
    <w:rsid w:val="04A1261D"/>
    <w:rsid w:val="06525474"/>
    <w:rsid w:val="07CB7353"/>
    <w:rsid w:val="07EF63FD"/>
    <w:rsid w:val="0B1A4FAD"/>
    <w:rsid w:val="0F921AB9"/>
    <w:rsid w:val="11F008BF"/>
    <w:rsid w:val="12D623BD"/>
    <w:rsid w:val="15C30B5E"/>
    <w:rsid w:val="16F4045A"/>
    <w:rsid w:val="188374B7"/>
    <w:rsid w:val="18A07E70"/>
    <w:rsid w:val="1F190DF3"/>
    <w:rsid w:val="255E2323"/>
    <w:rsid w:val="26B969A0"/>
    <w:rsid w:val="2B0A3A26"/>
    <w:rsid w:val="3467795C"/>
    <w:rsid w:val="3C0A28F6"/>
    <w:rsid w:val="3ED935D5"/>
    <w:rsid w:val="3F4D73C2"/>
    <w:rsid w:val="424C6F48"/>
    <w:rsid w:val="49AE4A5C"/>
    <w:rsid w:val="4C7E79B7"/>
    <w:rsid w:val="56E933D0"/>
    <w:rsid w:val="57D01A2F"/>
    <w:rsid w:val="5B524FF5"/>
    <w:rsid w:val="63633DE5"/>
    <w:rsid w:val="667C24EB"/>
    <w:rsid w:val="66B42BC8"/>
    <w:rsid w:val="682600F6"/>
    <w:rsid w:val="6DD82E8F"/>
    <w:rsid w:val="749D7893"/>
    <w:rsid w:val="75113DA7"/>
    <w:rsid w:val="784F446C"/>
    <w:rsid w:val="7A0D5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3A5F9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3A5F91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HTML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  <w:sz w:val="24"/>
    </w:rPr>
  </w:style>
  <w:style w:type="paragraph" w:styleId="a5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6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qFormat/>
    <w:rPr>
      <w:i/>
    </w:rPr>
  </w:style>
  <w:style w:type="character" w:styleId="a8">
    <w:name w:val="Hyperlink"/>
    <w:basedOn w:val="a0"/>
    <w:qFormat/>
    <w:rPr>
      <w:color w:val="0000FF"/>
      <w:u w:val="single"/>
    </w:rPr>
  </w:style>
  <w:style w:type="paragraph" w:styleId="a9">
    <w:name w:val="Balloon Text"/>
    <w:basedOn w:val="a"/>
    <w:link w:val="Char"/>
    <w:rsid w:val="003A5F91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9"/>
    <w:rsid w:val="003A5F91"/>
    <w:rPr>
      <w:rFonts w:asciiTheme="minorHAnsi" w:eastAsiaTheme="minorEastAsia" w:hAnsiTheme="minorHAnsi" w:cstheme="minorBidi"/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930</Words>
  <Characters>5305</Characters>
  <Application>Microsoft Office Word</Application>
  <DocSecurity>0</DocSecurity>
  <Lines>44</Lines>
  <Paragraphs>12</Paragraphs>
  <ScaleCrop>false</ScaleCrop>
  <Company/>
  <LinksUpToDate>false</LinksUpToDate>
  <CharactersWithSpaces>6223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愚笨的樵夫</dc:creator>
  <cp:lastModifiedBy>hj</cp:lastModifiedBy>
  <cp:revision>5</cp:revision>
  <dcterms:created xsi:type="dcterms:W3CDTF">2018-04-29T19:48:00Z</dcterms:created>
  <dcterms:modified xsi:type="dcterms:W3CDTF">2021-05-17T03:38:00Z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